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  <w:keepNext w:val="0"/>
        <w:bidi w:val="1"/>
      </w:pPr>
      <w:r>
        <w:rPr>
          <w:rFonts w:ascii="Noto Kufi Arabic" w:hAnsi="Noto Kufi Arabic" w:cs="Noto Kufi Arabic" w:eastAsia="Noto Kufi Arabic"/>
          <w:b/>
          <w:color w:val="B8860B"/>
          <w:sz w:val="22"/>
          <w:rtl/>
        </w:rPr>
        <w:t>036</w:t>
      </w:r>
    </w:p>
    <w:p>
      <w:pPr>
        <w:spacing w:before="0" w:after="20" w:line="240" w:lineRule="auto"/>
        <w:jc w:val="center"/>
        <w:keepNext w:val="0"/>
        <w:bidi w:val="1"/>
      </w:pPr>
      <w:r>
        <w:rPr>
          <w:rFonts w:ascii="Noto Kufi Arabic" w:hAnsi="Noto Kufi Arabic" w:cs="Noto Kufi Arabic" w:eastAsia="Noto Kufi Arabic"/>
          <w:b/>
          <w:color w:val="1F4E79"/>
          <w:sz w:val="48"/>
          <w:rtl/>
        </w:rPr>
        <w:t>تُبَّع</w:t>
      </w:r>
    </w:p>
    <w:p>
      <w:pPr>
        <w:spacing w:before="0" w:after="60" w:line="252" w:lineRule="auto"/>
        <w:jc w:val="center"/>
        <w:keepNext w:val="0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8"/>
          <w:rtl/>
        </w:rPr>
        <w:t>حين يصبح التاريخ شاهدًا مختصرًا: الحضارة لا تمنح حصانة من سنة التكذيب</w:t>
      </w:r>
    </w:p>
    <w:p>
      <w:pPr>
        <w:spacing w:before="0" w:after="80" w:line="276" w:lineRule="auto"/>
        <w:jc w:val="center"/>
        <w:keepNext w:val="0"/>
        <w:bidi w:val="1"/>
      </w:pP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القيمة المحورية: الاعتبار بالتاريخ والتعلم الاستراتيجي من مصائر الأمم  |  التصنيف: إدارة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E6D5A5"/>
          <w:left w:val="single" w:sz="5" w:color="E6D5A5"/>
          <w:bottom w:val="single" w:sz="5" w:color="E6D5A5"/>
          <w:right w:val="single" w:sz="5" w:color="E6D5A5"/>
          <w:insideH w:val="single" w:sz="5" w:color="E6D5A5"/>
          <w:insideV w:val="single" w:sz="5" w:color="E6D5A5"/>
        </w:tblBorders>
      </w:tblPr>
      <w:tblGrid>
        <w:gridCol w:w="10368"/>
      </w:tblGrid>
      <w:tr>
        <w:tc>
          <w:tcPr>
            <w:tcW w:type="dxa" w:w="10267"/>
            <w:shd w:fill="FFF7E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9"/>
                <w:rtl/>
              </w:rPr>
              <w:t>منهج العمل: القرآن الكريم أصل النص، وفي ظلال القرآن المرجع التفسيري الرئيس، مع مراجعة المعنى العام في التفاسير المعتبرة عند الحاجة. الصياغة والتحليل والتطبيقات أصلية ومبنية على قالب قصة إبليس ومنطقها الحركي.</w:t>
            </w:r>
          </w:p>
        </w:tc>
      </w:tr>
    </w:tbl>
    <w:p>
      <w:pPr>
        <w:spacing w:before="0" w:after="20" w:line="276" w:lineRule="auto"/>
        <w:jc w:val="center"/>
        <w:keepNext w:val="0"/>
        <w:bidi w:val="1"/>
      </w:pPr>
      <w:r>
        <w:rPr>
          <w:rFonts w:ascii="Noto Naskh Arabic" w:hAnsi="Noto Naskh Arabic" w:cs="Noto Naskh Arabic" w:eastAsia="Noto Naskh Arabic"/>
          <w:b w:val="0"/>
          <w:color w:val="6B7280"/>
          <w:sz w:val="18"/>
          <w:rtl/>
        </w:rPr>
        <w:t>مواضع القصة: الدخان: الآية 37 | ق: الآية 14</w:t>
      </w:r>
    </w:p>
    <w:p/>
    <w:p>
      <w:pPr>
        <w:spacing w:before="0" w:after="60" w:line="276" w:lineRule="auto"/>
        <w:jc w:val="center"/>
        <w:keepNext w:val="0"/>
        <w:bidi w:val="1"/>
      </w:pPr>
      <w:r>
        <w:rPr>
          <w:rFonts w:ascii="Noto Naskh Arabic" w:hAnsi="Noto Naskh Arabic" w:cs="Noto Naskh Arabic" w:eastAsia="Noto Naskh Arabic"/>
          <w:b w:val="0"/>
          <w:color w:val="6B7280"/>
          <w:sz w:val="17"/>
          <w:rtl/>
        </w:rPr>
        <w:t>ترتيب القصة في ملف Excel: 37</w:t>
      </w:r>
    </w:p>
    <w:p>
      <w:pPr>
        <w:spacing w:before="160" w:after="100" w:line="240" w:lineRule="auto"/>
        <w:jc w:val="right"/>
        <w:keepNext/>
        <w:bidi w:val="1"/>
      </w:pPr>
      <w:r>
        <w:rPr>
          <w:rFonts w:ascii="Noto Kufi Arabic" w:hAnsi="Noto Kufi Arabic" w:cs="Noto Kufi Arabic" w:eastAsia="Noto Kufi Arabic"/>
          <w:b/>
          <w:color w:val="1F4E79"/>
          <w:sz w:val="28"/>
          <w:rtl/>
        </w:rPr>
        <w:t>مدخل القصة ومحورها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1D5DB"/>
          <w:left w:val="single" w:sz="5" w:color="D1D5DB"/>
          <w:bottom w:val="single" w:sz="5" w:color="D1D5DB"/>
          <w:right w:val="single" w:sz="5" w:color="D1D5DB"/>
          <w:insideH w:val="single" w:sz="5" w:color="D1D5DB"/>
          <w:insideV w:val="single" w:sz="5" w:color="D1D5DB"/>
        </w:tblBorders>
      </w:tblPr>
      <w:tblGrid>
        <w:gridCol w:w="5133"/>
        <w:gridCol w:w="5133"/>
      </w:tblGrid>
      <w:tr>
        <w:tc>
          <w:tcPr>
            <w:tcW w:type="dxa" w:w="208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20"/>
                <w:rtl/>
              </w:rPr>
              <w:t>المحور المركزي</w:t>
            </w:r>
          </w:p>
        </w:tc>
        <w:tc>
          <w:tcPr>
            <w:tcW w:type="dxa" w:w="8280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20"/>
                <w:rtl/>
              </w:rPr>
              <w:t>لا يقدم القرآن هنا قصة تفصيلية، بل يستدعي ذاكرة قوم ذوي قوة معروفة ليهدم وهم الاستثناء: من كذب وأجرم لا تحميه مكانة حضارية ولا شهرة تاريخية من عاقبة سنن الله.</w:t>
            </w:r>
          </w:p>
        </w:tc>
      </w:tr>
      <w:tr>
        <w:tc>
          <w:tcPr>
            <w:tcW w:type="dxa" w:w="208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20"/>
                <w:rtl/>
              </w:rPr>
              <w:t>السؤال الإنساني</w:t>
            </w:r>
          </w:p>
        </w:tc>
        <w:tc>
          <w:tcPr>
            <w:tcW w:type="dxa" w:w="82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20"/>
                <w:rtl/>
              </w:rPr>
              <w:t>كيف يتحول التاريخ من مادة للفخر أو الحكاية إلى أداة تقييم للمخاطر وتصحيح القرار الحاضر؟</w:t>
            </w:r>
          </w:p>
        </w:tc>
      </w:tr>
      <w:tr>
        <w:tc>
          <w:tcPr>
            <w:tcW w:type="dxa" w:w="208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20"/>
                <w:rtl/>
              </w:rPr>
              <w:t>الحركة الكبرى</w:t>
            </w:r>
          </w:p>
        </w:tc>
        <w:tc>
          <w:tcPr>
            <w:tcW w:type="dxa" w:w="8280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20"/>
                <w:rtl/>
              </w:rPr>
              <w:t>سؤال يقارن الحاضرين بقوم تُبَّع → نفي امتياز النجاة بالقوة → ربط الهلاك بالإجرام → إدراجهم في سلسلة المكذبين → تقرير أن تكذيب الرسل يحقق الوعيد → نقل العبرة إلى المخاطب الآن.</w:t>
            </w:r>
          </w:p>
        </w:tc>
      </w:tr>
    </w:tbl>
    <w:p>
      <w:pPr>
        <w:spacing w:before="160" w:after="100" w:line="240" w:lineRule="auto"/>
        <w:jc w:val="right"/>
        <w:keepNext/>
        <w:bidi w:val="1"/>
      </w:pPr>
      <w:r>
        <w:rPr>
          <w:rFonts w:ascii="Noto Kufi Arabic" w:hAnsi="Noto Kufi Arabic" w:cs="Noto Kufi Arabic" w:eastAsia="Noto Kufi Arabic"/>
          <w:b/>
          <w:color w:val="1F4E79"/>
          <w:sz w:val="28"/>
          <w:rtl/>
        </w:rPr>
        <w:t>الآيات + الشرح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6" w:color="B9CFE3"/>
          <w:left w:val="single" w:sz="6" w:color="B9CFE3"/>
          <w:bottom w:val="single" w:sz="6" w:color="B9CFE3"/>
          <w:right w:val="single" w:sz="6" w:color="B9CFE3"/>
          <w:insideH w:val="single" w:sz="6" w:color="B9CFE3"/>
          <w:insideV w:val="single" w:sz="6" w:color="B9CFE3"/>
        </w:tblBorders>
      </w:tblPr>
      <w:tblGrid>
        <w:gridCol w:w="10267"/>
      </w:tblGrid>
      <w:tr>
        <w:trPr/>
        <w:tc>
          <w:tcPr>
            <w:tcW w:type="dxa" w:w="10267"/>
            <w:shd w:fill="DCE6F1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  <w:jc w:val="right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1F4E79"/>
                <w:sz w:val="21"/>
                <w:rtl/>
              </w:rPr>
              <w:t>1. سورة الدخان - الآية 37</w:t>
            </w:r>
          </w:p>
          <w:p>
            <w:pPr>
              <w:spacing w:line="324" w:lineRule="auto" w:after="100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23"/>
                <w:rtl/>
              </w:rPr>
              <w:t>أَهُم خَيرٌ أَم قَومُ تُبَّعٍ وَالَّذينَ مِن قَبلِهِم ۚ أَهلَكناهُم ۖ إِنَّهُم كانوا مُجرِمينَ﴿٣٧﴾</w:t>
            </w:r>
          </w:p>
          <w:p>
            <w:pPr>
              <w:spacing w:after="40" w:line="269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/>
                <w:color w:val="B8860B"/>
                <w:sz w:val="19"/>
                <w:rtl/>
              </w:rPr>
              <w:t xml:space="preserve">1. </w:t>
            </w:r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9"/>
                <w:rtl/>
              </w:rPr>
              <w:t>جاء السؤال أهم خير أم قوم تبع ليكسر ادعاء التفوق أو الحصانة عند المخاطبين؛ من سبقهم كان أقوى أثرًا ولم تمنعه قوته من العاقبة.</w:t>
            </w:r>
          </w:p>
          <w:p>
            <w:pPr>
              <w:spacing w:after="40" w:line="269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/>
                <w:color w:val="B8860B"/>
                <w:sz w:val="19"/>
                <w:rtl/>
              </w:rPr>
              <w:t xml:space="preserve">2. </w:t>
            </w:r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9"/>
                <w:rtl/>
              </w:rPr>
              <w:t>نسب النص الذكر إلى قوم تبع وربط إهلاكهم ومن قبلهم بالإجرام؛ معيار الحكم أخلاقي لا عرقي ولا حضاري.</w:t>
            </w:r>
          </w:p>
          <w:p>
            <w:pPr>
              <w:spacing w:after="40" w:line="269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/>
                <w:color w:val="B8860B"/>
                <w:sz w:val="19"/>
                <w:rtl/>
              </w:rPr>
              <w:t xml:space="preserve">3. </w:t>
            </w:r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9"/>
                <w:rtl/>
              </w:rPr>
              <w:t>المشهد وارد في سياق إنكار البعث والجزاء، فالتاريخ القريب يصبح شاهدًا على القدرة والعدل، لا مجرد سجل سياسي.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6" w:color="B9CFE3"/>
          <w:left w:val="single" w:sz="6" w:color="B9CFE3"/>
          <w:bottom w:val="single" w:sz="6" w:color="B9CFE3"/>
          <w:right w:val="single" w:sz="6" w:color="B9CFE3"/>
          <w:insideH w:val="single" w:sz="6" w:color="B9CFE3"/>
          <w:insideV w:val="single" w:sz="6" w:color="B9CFE3"/>
        </w:tblBorders>
      </w:tblPr>
      <w:tblGrid>
        <w:gridCol w:w="10267"/>
      </w:tblGrid>
      <w:tr>
        <w:trPr/>
        <w:tc>
          <w:tcPr>
            <w:tcW w:type="dxa" w:w="10267"/>
            <w:shd w:fill="DCE6F1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  <w:jc w:val="right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1F4E79"/>
                <w:sz w:val="21"/>
                <w:rtl/>
              </w:rPr>
              <w:t>2. سورة ق - الآية 14</w:t>
            </w:r>
          </w:p>
          <w:p>
            <w:pPr>
              <w:spacing w:line="324" w:lineRule="auto" w:after="100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23"/>
                <w:rtl/>
              </w:rPr>
              <w:t>وَأَصحابُ الأَيكَةِ وَقَومُ تُبَّعٍ ۚ كُلٌّ كَذَّبَ الرُّسُلَ فَحَقَّ وَعيدِ﴿١٤﴾</w:t>
            </w:r>
          </w:p>
          <w:p>
            <w:pPr>
              <w:spacing w:after="40" w:line="269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/>
                <w:color w:val="B8860B"/>
                <w:sz w:val="19"/>
                <w:rtl/>
              </w:rPr>
              <w:t xml:space="preserve">1. </w:t>
            </w:r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9"/>
                <w:rtl/>
              </w:rPr>
              <w:t>أُدرج قوم تبع مع أصحاب الأيكة ضمن أمم متعددة، ثم جمعهم الحكم: كل كذب الرسل.</w:t>
            </w:r>
          </w:p>
          <w:p>
            <w:pPr>
              <w:spacing w:after="40" w:line="269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/>
                <w:color w:val="B8860B"/>
                <w:sz w:val="19"/>
                <w:rtl/>
              </w:rPr>
              <w:t xml:space="preserve">2. </w:t>
            </w:r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9"/>
                <w:rtl/>
              </w:rPr>
              <w:t>توحيد النمط لا يعني تماثل التفاصيل؛ الذي يجمعهم هو موقف التكذيب الذي أفضى إلى استحقاق الوعيد.</w:t>
            </w:r>
          </w:p>
          <w:p>
            <w:pPr>
              <w:spacing w:after="40" w:line="269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/>
                <w:color w:val="B8860B"/>
                <w:sz w:val="19"/>
                <w:rtl/>
              </w:rPr>
              <w:t xml:space="preserve">3. </w:t>
            </w:r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9"/>
                <w:rtl/>
              </w:rPr>
              <w:t>الآية تختصر القصة إلى وظيفتها: ذاكرة تحذير ترد القلب من الغرور بالحاضر إلى سنة ظهرت في الماضي.</w:t>
            </w:r>
          </w:p>
        </w:tc>
      </w:tr>
    </w:tbl>
    <w:p>
      <w:pPr>
        <w:spacing w:after="20"/>
      </w:pPr>
    </w:p>
    <w:p>
      <w:pPr>
        <w:spacing w:before="160" w:after="100" w:line="240" w:lineRule="auto"/>
        <w:jc w:val="right"/>
        <w:keepNext/>
        <w:bidi w:val="1"/>
      </w:pPr>
      <w:r>
        <w:rPr>
          <w:rFonts w:ascii="Noto Kufi Arabic" w:hAnsi="Noto Kufi Arabic" w:cs="Noto Kufi Arabic" w:eastAsia="Noto Kufi Arabic"/>
          <w:b/>
          <w:color w:val="1F4E79"/>
          <w:sz w:val="28"/>
          <w:rtl/>
        </w:rPr>
        <w:t>التحليل الحركي والنفسي</w:t>
      </w:r>
    </w:p>
    <w:p>
      <w:pPr>
        <w:spacing w:after="60" w:line="288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1.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قوة هذا الملف في اختصاره لا في كثرة أحداثه؛ النص لا يطلب إعادة بناء سيرة قوم تبع، بل يطلب قراءة وظيفة ذكرهم داخل الحجة.</w:t>
      </w:r>
    </w:p>
    <w:p>
      <w:pPr>
        <w:spacing w:after="60" w:line="288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2.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السؤال أهم خير يواجه وهم الاستثناء الذي يجعل جماعة ما ترى أن تاريخ الآخرين لا ينطبق عليها بسبب المال أو المكانة أو الثقافة.</w:t>
      </w:r>
    </w:p>
    <w:p>
      <w:pPr>
        <w:spacing w:after="60" w:line="288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3.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ذكر القوم لا الحاكم وحده يوجه المسؤولية إلى البنية الاجتماعية التي تتبنى التكذيب وتعيد إنتاجه، لا إلى شخص السلطة فقط.</w:t>
      </w:r>
    </w:p>
    <w:p>
      <w:pPr>
        <w:spacing w:after="60" w:line="288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4.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ربط الإهلاك بالإجرام يمنع تفسير سقوط الحضارات بعامل القوة المجرد؛ القضية في النص أخلاقية ورسالية قبل أن تكون عسكرية.</w:t>
      </w:r>
    </w:p>
    <w:p>
      <w:pPr>
        <w:spacing w:after="60" w:line="288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5.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قول كل كذب الرسل يجمع أممًا مختلفة في نمط قرار واحد؛ التحليل الاستراتيجي يبحث عن الأنماط المتكررة تحت اختلاف الصور.</w:t>
      </w:r>
    </w:p>
    <w:p>
      <w:pPr>
        <w:spacing w:after="60" w:line="288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6.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قلة المعلومات اختبار للباحث: الانضباط العلمي يعني أن نقول ما يسمح به النص، لا أن نملأ الفراغ بحكايات تمنح الوثيقة جاذبية زائفة.</w:t>
      </w:r>
    </w:p>
    <w:p>
      <w:pPr>
        <w:spacing w:after="60" w:line="288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7.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التاريخ لا يعمل تلقائيًا؛ قد تعرف الأمة المصائر السابقة ثم تكررها إذا بقيت المعرفة منفصلة عن القرار والمؤسسات.</w:t>
      </w:r>
    </w:p>
    <w:p>
      <w:pPr>
        <w:spacing w:after="60" w:line="288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8.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الاعتبار الحقيقي يحول الذاكرة إلى ضوابط: مؤشرات مبكرة، ومسارات تصحيح، وآليات تمنع إنكار الحقيقة حتى تستحق الأزمة الوعيد.</w:t>
      </w:r>
    </w:p>
    <w:p>
      <w:pPr>
        <w:spacing w:after="60" w:line="288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9.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في القيادة، سمعة المؤسسة وإنجازاتها السابقة ليست ضمانًا؛ قد تصبح الذاكرة المجيدة غطاءً يعيق رؤية الانحراف الحالي.</w:t>
      </w:r>
    </w:p>
    <w:p>
      <w:pPr>
        <w:spacing w:after="60" w:line="288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10.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القصة المختصرة تربي على التواضع الحضاري: ليست العبرة بمن كان أشهر، بل بمن استجاب للحق وعدّل مساره.</w:t>
      </w:r>
    </w:p>
    <w:p>
      <w:pPr>
        <w:spacing w:before="160" w:after="100" w:line="240" w:lineRule="auto"/>
        <w:jc w:val="right"/>
        <w:keepNext/>
        <w:bidi w:val="1"/>
      </w:pPr>
      <w:r>
        <w:rPr>
          <w:rFonts w:ascii="Noto Kufi Arabic" w:hAnsi="Noto Kufi Arabic" w:cs="Noto Kufi Arabic" w:eastAsia="Noto Kufi Arabic"/>
          <w:b/>
          <w:color w:val="1F4E79"/>
          <w:sz w:val="28"/>
          <w:rtl/>
        </w:rPr>
        <w:t>الخلاصة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5" w:color="B9CFE3"/>
          <w:left w:val="single" w:sz="5" w:color="B9CFE3"/>
          <w:bottom w:val="single" w:sz="5" w:color="B9CFE3"/>
          <w:right w:val="single" w:sz="5" w:color="B9CFE3"/>
          <w:insideH w:val="single" w:sz="5" w:color="B9CFE3"/>
          <w:insideV w:val="single" w:sz="5" w:color="B9CFE3"/>
        </w:tblBorders>
      </w:tblPr>
      <w:tblGrid>
        <w:gridCol w:w="10267"/>
      </w:tblGrid>
      <w:tr>
        <w:tc>
          <w:tcPr>
            <w:tcW w:type="dxa" w:w="10267"/>
            <w:shd w:fill="EEF4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22"/>
                <w:rtl/>
              </w:rPr>
              <w:t>لم يفصل القرآن أخبار قوم تُبَّع، بل وضع اسمهم في موقع شاهد تاريخي يعرفه المخاطبون. سأل: أهم خير أم قوم تبع؟ ثم قرر أن الإجرام والتكذيب أفضيا إلى الإهلاك واستحقاق الوعيد. لذلك لا يُبنى هذا الملف على روايات طويلة، بل على وظيفة الذكر: إسقاط وهم الحصانة، وربط المصير بالقرار الأخلاقي، وتحويل التاريخ إلى نظام إنذار للحاضر. الحضارة التي لا تتعلم من أنماط التكذيب قد تحفظ آثارها وتفقد قدرتها على البقاء.</w:t>
            </w:r>
          </w:p>
        </w:tc>
      </w:tr>
    </w:tbl>
    <w:p>
      <w:pPr>
        <w:spacing w:before="160" w:after="100" w:line="240" w:lineRule="auto"/>
        <w:jc w:val="right"/>
        <w:keepNext/>
        <w:bidi w:val="1"/>
      </w:pPr>
      <w:r>
        <w:rPr>
          <w:rFonts w:ascii="Noto Kufi Arabic" w:hAnsi="Noto Kufi Arabic" w:cs="Noto Kufi Arabic" w:eastAsia="Noto Kufi Arabic"/>
          <w:b/>
          <w:color w:val="1F4E79"/>
          <w:sz w:val="28"/>
          <w:rtl/>
        </w:rPr>
        <w:t>المرحلة | النص | التطبيق على الإنسان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1D5DB"/>
          <w:left w:val="single" w:sz="5" w:color="D1D5DB"/>
          <w:bottom w:val="single" w:sz="5" w:color="D1D5DB"/>
          <w:right w:val="single" w:sz="5" w:color="D1D5DB"/>
          <w:insideH w:val="single" w:sz="5" w:color="D1D5DB"/>
          <w:insideV w:val="single" w:sz="5" w:color="D1D5DB"/>
        </w:tblBorders>
      </w:tblPr>
      <w:tblGrid>
        <w:gridCol w:w="3422"/>
        <w:gridCol w:w="3422"/>
        <w:gridCol w:w="3422"/>
      </w:tblGrid>
      <w:tr>
        <w:trPr>
          <w:tblHeader w:val="true"/>
        </w:trPr>
        <w:tc>
          <w:tcPr>
            <w:tcW w:type="dxa" w:w="194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المرحلة</w:t>
            </w:r>
          </w:p>
        </w:tc>
        <w:tc>
          <w:tcPr>
            <w:tcW w:type="dxa" w:w="295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النص أو المعنى المحوري</w:t>
            </w:r>
          </w:p>
        </w:tc>
        <w:tc>
          <w:tcPr>
            <w:tcW w:type="dxa" w:w="547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التطبيق على الإنسان</w:t>
            </w:r>
          </w:p>
        </w:tc>
      </w:tr>
      <w:tr>
        <w:trPr/>
        <w:tc>
          <w:tcPr>
            <w:tcW w:type="dxa" w:w="194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8"/>
                <w:rtl/>
              </w:rPr>
              <w:t>الذاكرة</w:t>
            </w:r>
          </w:p>
        </w:tc>
        <w:tc>
          <w:tcPr>
            <w:tcW w:type="dxa" w:w="295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قوم تبع</w:t>
            </w:r>
          </w:p>
        </w:tc>
        <w:tc>
          <w:tcPr>
            <w:tcW w:type="dxa" w:w="547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استدع التاريخ بوصفه بيانات قرار لا مادة فخر فقط.</w:t>
            </w:r>
          </w:p>
        </w:tc>
      </w:tr>
      <w:tr>
        <w:trPr/>
        <w:tc>
          <w:tcPr>
            <w:tcW w:type="dxa" w:w="19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8"/>
                <w:rtl/>
              </w:rPr>
              <w:t>المقارنة</w:t>
            </w:r>
          </w:p>
        </w:tc>
        <w:tc>
          <w:tcPr>
            <w:tcW w:type="dxa" w:w="29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أهم خير</w:t>
            </w:r>
          </w:p>
        </w:tc>
        <w:tc>
          <w:tcPr>
            <w:tcW w:type="dxa" w:w="54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اختبر ادعاء أن مؤسستك أو جماعتك استثناء من المخاطر.</w:t>
            </w:r>
          </w:p>
        </w:tc>
      </w:tr>
      <w:tr>
        <w:trPr/>
        <w:tc>
          <w:tcPr>
            <w:tcW w:type="dxa" w:w="194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8"/>
                <w:rtl/>
              </w:rPr>
              <w:t>القوة السابقة</w:t>
            </w:r>
          </w:p>
        </w:tc>
        <w:tc>
          <w:tcPr>
            <w:tcW w:type="dxa" w:w="295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والذين من قبلهم</w:t>
            </w:r>
          </w:p>
        </w:tc>
        <w:tc>
          <w:tcPr>
            <w:tcW w:type="dxa" w:w="547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قارن نفسك بمن كان أقوى ولم تمنعه القوة من السقوط.</w:t>
            </w:r>
          </w:p>
        </w:tc>
      </w:tr>
      <w:tr>
        <w:trPr/>
        <w:tc>
          <w:tcPr>
            <w:tcW w:type="dxa" w:w="19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8"/>
                <w:rtl/>
              </w:rPr>
              <w:t>السبب الأخلاقي</w:t>
            </w:r>
          </w:p>
        </w:tc>
        <w:tc>
          <w:tcPr>
            <w:tcW w:type="dxa" w:w="29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إنهم كانوا مجرمين</w:t>
            </w:r>
          </w:p>
        </w:tc>
        <w:tc>
          <w:tcPr>
            <w:tcW w:type="dxa" w:w="54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اربط المؤشرات السلبية بالسلوك والحوكمة لا بالحظ وحده.</w:t>
            </w:r>
          </w:p>
        </w:tc>
      </w:tr>
      <w:tr>
        <w:trPr/>
        <w:tc>
          <w:tcPr>
            <w:tcW w:type="dxa" w:w="194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8"/>
                <w:rtl/>
              </w:rPr>
              <w:t>النمط</w:t>
            </w:r>
          </w:p>
        </w:tc>
        <w:tc>
          <w:tcPr>
            <w:tcW w:type="dxa" w:w="295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كل كذب الرسل</w:t>
            </w:r>
          </w:p>
        </w:tc>
        <w:tc>
          <w:tcPr>
            <w:tcW w:type="dxa" w:w="547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ابحث عن القرار المشترك خلف الحالات المختلفة.</w:t>
            </w:r>
          </w:p>
        </w:tc>
      </w:tr>
      <w:tr>
        <w:trPr/>
        <w:tc>
          <w:tcPr>
            <w:tcW w:type="dxa" w:w="19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8"/>
                <w:rtl/>
              </w:rPr>
              <w:t>التحذير</w:t>
            </w:r>
          </w:p>
        </w:tc>
        <w:tc>
          <w:tcPr>
            <w:tcW w:type="dxa" w:w="29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فحق وعيد</w:t>
            </w:r>
          </w:p>
        </w:tc>
        <w:tc>
          <w:tcPr>
            <w:tcW w:type="dxa" w:w="54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ضع حدودًا واضحة لما يحدث إذا استمر الإنكار.</w:t>
            </w:r>
          </w:p>
        </w:tc>
      </w:tr>
      <w:tr>
        <w:trPr/>
        <w:tc>
          <w:tcPr>
            <w:tcW w:type="dxa" w:w="194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8"/>
                <w:rtl/>
              </w:rPr>
              <w:t>التعلم</w:t>
            </w:r>
          </w:p>
        </w:tc>
        <w:tc>
          <w:tcPr>
            <w:tcW w:type="dxa" w:w="295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أهلكناهم</w:t>
            </w:r>
          </w:p>
        </w:tc>
        <w:tc>
          <w:tcPr>
            <w:tcW w:type="dxa" w:w="547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حوّل الفشل السابق إلى ضوابط وإجراءات حالية.</w:t>
            </w:r>
          </w:p>
        </w:tc>
      </w:tr>
      <w:tr>
        <w:trPr/>
        <w:tc>
          <w:tcPr>
            <w:tcW w:type="dxa" w:w="19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8"/>
                <w:rtl/>
              </w:rPr>
              <w:t>التواضع</w:t>
            </w:r>
          </w:p>
        </w:tc>
        <w:tc>
          <w:tcPr>
            <w:tcW w:type="dxa" w:w="29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أهم خير</w:t>
            </w:r>
          </w:p>
        </w:tc>
        <w:tc>
          <w:tcPr>
            <w:tcW w:type="dxa" w:w="54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لا تجعل السمعة والإنجازات القديمة تمنع المراجعة.</w:t>
            </w:r>
          </w:p>
        </w:tc>
      </w:tr>
    </w:tbl>
    <w:p>
      <w:pPr>
        <w:spacing w:before="160" w:after="100" w:line="240" w:lineRule="auto"/>
        <w:jc w:val="right"/>
        <w:keepNext/>
        <w:bidi w:val="1"/>
      </w:pPr>
      <w:r>
        <w:rPr>
          <w:rFonts w:ascii="Noto Kufi Arabic" w:hAnsi="Noto Kufi Arabic" w:cs="Noto Kufi Arabic" w:eastAsia="Noto Kufi Arabic"/>
          <w:b/>
          <w:color w:val="1F4E79"/>
          <w:sz w:val="28"/>
          <w:rtl/>
        </w:rPr>
        <w:t>التطبيقات العملية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1D5DB"/>
          <w:left w:val="single" w:sz="5" w:color="D1D5DB"/>
          <w:bottom w:val="single" w:sz="5" w:color="D1D5DB"/>
          <w:right w:val="single" w:sz="5" w:color="D1D5DB"/>
          <w:insideH w:val="single" w:sz="5" w:color="D1D5DB"/>
          <w:insideV w:val="single" w:sz="5" w:color="D1D5DB"/>
        </w:tblBorders>
      </w:tblPr>
      <w:tblGrid>
        <w:gridCol w:w="5133"/>
        <w:gridCol w:w="5133"/>
      </w:tblGrid>
      <w:tr>
        <w:trPr>
          <w:tblHeader w:val="true"/>
        </w:trPr>
        <w:tc>
          <w:tcPr>
            <w:tcW w:type="dxa" w:w="223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المجال</w:t>
            </w:r>
          </w:p>
        </w:tc>
        <w:tc>
          <w:tcPr>
            <w:tcW w:type="dxa" w:w="813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التطبيق</w:t>
            </w:r>
          </w:p>
        </w:tc>
      </w:tr>
      <w:tr>
        <w:trPr/>
        <w:tc>
          <w:tcPr>
            <w:tcW w:type="dxa" w:w="223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8"/>
                <w:rtl/>
              </w:rPr>
              <w:t>الحياة الشخصية</w:t>
            </w:r>
          </w:p>
        </w:tc>
        <w:tc>
          <w:tcPr>
            <w:tcW w:type="dxa" w:w="8136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راجع أخطاء من سبقوك دون شعور بالتفوق؛ التشابه في القرار قد يقود إلى تشابه في النتيجة.</w:t>
            </w:r>
          </w:p>
        </w:tc>
      </w:tr>
      <w:tr>
        <w:trPr/>
        <w:tc>
          <w:tcPr>
            <w:tcW w:type="dxa" w:w="22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8"/>
                <w:rtl/>
              </w:rPr>
              <w:t>الأسرة</w:t>
            </w:r>
          </w:p>
        </w:tc>
        <w:tc>
          <w:tcPr>
            <w:tcW w:type="dxa" w:w="81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احفظ تاريخ الأسرة بوصفه دروسًا في الخيارات لا قائمة أمجاد أو فضائح.</w:t>
            </w:r>
          </w:p>
        </w:tc>
      </w:tr>
      <w:tr>
        <w:trPr/>
        <w:tc>
          <w:tcPr>
            <w:tcW w:type="dxa" w:w="223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8"/>
                <w:rtl/>
              </w:rPr>
              <w:t>القيادة</w:t>
            </w:r>
          </w:p>
        </w:tc>
        <w:tc>
          <w:tcPr>
            <w:tcW w:type="dxa" w:w="8136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لا تستخدم نجاح الماضي لإسكات مؤشرات الخطر الحاضر.</w:t>
            </w:r>
          </w:p>
        </w:tc>
      </w:tr>
      <w:tr>
        <w:trPr/>
        <w:tc>
          <w:tcPr>
            <w:tcW w:type="dxa" w:w="22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8"/>
                <w:rtl/>
              </w:rPr>
              <w:t>الإدارة</w:t>
            </w:r>
          </w:p>
        </w:tc>
        <w:tc>
          <w:tcPr>
            <w:tcW w:type="dxa" w:w="81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ابنِ قاعدة دروس مستفادة تربط الحوادث بأسبابها وإجراءات منع التكرار.</w:t>
            </w:r>
          </w:p>
        </w:tc>
      </w:tr>
      <w:tr>
        <w:trPr/>
        <w:tc>
          <w:tcPr>
            <w:tcW w:type="dxa" w:w="223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8"/>
                <w:rtl/>
              </w:rPr>
              <w:t>أخلاقيات العمل</w:t>
            </w:r>
          </w:p>
        </w:tc>
        <w:tc>
          <w:tcPr>
            <w:tcW w:type="dxa" w:w="8136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قيّم المؤسسة بسلوكها الحالي لا باسمها أو عمرها أو حجمها.</w:t>
            </w:r>
          </w:p>
        </w:tc>
      </w:tr>
      <w:tr>
        <w:trPr/>
        <w:tc>
          <w:tcPr>
            <w:tcW w:type="dxa" w:w="22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8"/>
                <w:rtl/>
              </w:rPr>
              <w:t>المجتمع</w:t>
            </w:r>
          </w:p>
        </w:tc>
        <w:tc>
          <w:tcPr>
            <w:tcW w:type="dxa" w:w="81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حوّل الآثار والتاريخ إلى وعي بالسنن والمسؤولية بدل العصبية الحضارية.</w:t>
            </w:r>
          </w:p>
        </w:tc>
      </w:tr>
      <w:tr>
        <w:trPr/>
        <w:tc>
          <w:tcPr>
            <w:tcW w:type="dxa" w:w="223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8"/>
                <w:rtl/>
              </w:rPr>
              <w:t>الدعوة</w:t>
            </w:r>
          </w:p>
        </w:tc>
        <w:tc>
          <w:tcPr>
            <w:tcW w:type="dxa" w:w="8136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استخدم التاريخ للتذكير دون مبالغة في تفاصيل لم يثبتها الوحي.</w:t>
            </w:r>
          </w:p>
        </w:tc>
      </w:tr>
      <w:tr>
        <w:trPr/>
        <w:tc>
          <w:tcPr>
            <w:tcW w:type="dxa" w:w="22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8"/>
                <w:rtl/>
              </w:rPr>
              <w:t>التعليم</w:t>
            </w:r>
          </w:p>
        </w:tc>
        <w:tc>
          <w:tcPr>
            <w:tcW w:type="dxa" w:w="81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8"/>
                <w:rtl/>
              </w:rPr>
              <w:t>درّب الطلاب على الفرق بين النص الصريح، والرواية التاريخية، والاستنباط الإداري.</w:t>
            </w:r>
          </w:p>
        </w:tc>
      </w:tr>
    </w:tbl>
    <w:p>
      <w:pPr>
        <w:spacing w:before="160" w:after="100" w:line="240" w:lineRule="auto"/>
        <w:jc w:val="right"/>
        <w:keepNext/>
        <w:bidi w:val="1"/>
      </w:pPr>
      <w:r>
        <w:rPr>
          <w:rFonts w:ascii="Noto Kufi Arabic" w:hAnsi="Noto Kufi Arabic" w:cs="Noto Kufi Arabic" w:eastAsia="Noto Kufi Arabic"/>
          <w:b/>
          <w:color w:val="1F4E79"/>
          <w:sz w:val="28"/>
          <w:rtl/>
        </w:rPr>
        <w:t>ضوابط الفهم والاستنباط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القرآن يذكر قوم تُبَّع في موضعين مختصرين ولا يسرد تفاصيل تاريخهم، فلا يجوز تقديم رواية موسعة بوصفها القصة القرآنية نفسها.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الذم في الآيتين متوجه إلى القوم وسلوك التكذيب والإجرام؛ لا يُستنتج منه حكم تفصيلي على كل من حمل لقب تُبَّع.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لا يحدد النص الرسول الذي كذبوه ولا زمن الحدث ولا كيفية الإهلاك في هذين الموضعين.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التحليل الحضاري والإداري مستفاد من وظيفة المثل التاريخي، وليس بديلًا عن المحور العقدي المتعلق بالرسل والوعيد والبعث.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ضعف المادة القصصية ليس نقصًا يجب تعويضه؛ بل هو حد منهجي يوجب مزيدًا من الأمانة والاختصار.</w:t>
      </w:r>
    </w:p>
    <w:p>
      <w:pPr>
        <w:spacing w:before="160" w:after="100" w:line="240" w:lineRule="auto"/>
        <w:jc w:val="right"/>
        <w:keepNext/>
        <w:bidi w:val="1"/>
      </w:pPr>
      <w:r>
        <w:rPr>
          <w:rFonts w:ascii="Noto Kufi Arabic" w:hAnsi="Noto Kufi Arabic" w:cs="Noto Kufi Arabic" w:eastAsia="Noto Kufi Arabic"/>
          <w:b/>
          <w:color w:val="1F4E79"/>
          <w:sz w:val="28"/>
          <w:rtl/>
        </w:rPr>
        <w:t>تقرير ضبط الجودة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1D5DB"/>
          <w:left w:val="single" w:sz="5" w:color="D1D5DB"/>
          <w:bottom w:val="single" w:sz="5" w:color="D1D5DB"/>
          <w:right w:val="single" w:sz="5" w:color="D1D5DB"/>
          <w:insideH w:val="single" w:sz="5" w:color="D1D5DB"/>
          <w:insideV w:val="single" w:sz="5" w:color="D1D5DB"/>
        </w:tblBorders>
      </w:tblPr>
      <w:tblGrid>
        <w:gridCol w:w="2053"/>
        <w:gridCol w:w="2053"/>
        <w:gridCol w:w="2053"/>
        <w:gridCol w:w="2053"/>
        <w:gridCol w:w="2053"/>
      </w:tblGrid>
      <w:tr>
        <w:trPr>
          <w:tblHeader w:val="true"/>
        </w:trPr>
        <w:tc>
          <w:tcPr>
            <w:tcW w:type="dxa" w:w="151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المراجعة</w:t>
            </w:r>
          </w:p>
        </w:tc>
        <w:tc>
          <w:tcPr>
            <w:tcW w:type="dxa" w:w="18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المعيار</w:t>
            </w:r>
          </w:p>
        </w:tc>
        <w:tc>
          <w:tcPr>
            <w:tcW w:type="dxa" w:w="108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الإنجاز</w:t>
            </w:r>
          </w:p>
        </w:tc>
        <w:tc>
          <w:tcPr>
            <w:tcW w:type="dxa" w:w="410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لماذا لم يصل إلى 100%؟</w:t>
            </w:r>
          </w:p>
        </w:tc>
        <w:tc>
          <w:tcPr>
            <w:tcW w:type="dxa" w:w="208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الإجراء المتبقي</w:t>
            </w:r>
          </w:p>
        </w:tc>
      </w:tr>
      <w:tr>
        <w:trPr/>
        <w:tc>
          <w:tcPr>
            <w:tcW w:type="dxa" w:w="151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5"/>
                <w:rtl/>
              </w:rPr>
              <w:t>المراجعة 1</w:t>
            </w:r>
          </w:p>
        </w:tc>
        <w:tc>
          <w:tcPr>
            <w:tcW w:type="dxa" w:w="1800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الدقة القرآنية</w:t>
            </w:r>
          </w:p>
        </w:tc>
        <w:tc>
          <w:tcPr>
            <w:tcW w:type="dxa" w:w="1080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99.8%</w:t>
            </w:r>
          </w:p>
        </w:tc>
        <w:tc>
          <w:tcPr>
            <w:tcW w:type="dxa" w:w="410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المادة آيتان فقط وتمت مطابقتهما آليًا، ويبقى التدقيق المصحفي النهائي.</w:t>
            </w:r>
          </w:p>
        </w:tc>
        <w:tc>
          <w:tcPr>
            <w:tcW w:type="dxa" w:w="2088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مراجعة مصحفية نهائية.</w:t>
            </w:r>
          </w:p>
        </w:tc>
      </w:tr>
      <w:tr>
        <w:trPr/>
        <w:tc>
          <w:tcPr>
            <w:tcW w:type="dxa" w:w="15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5"/>
                <w:rtl/>
              </w:rPr>
              <w:t>المراجعة 2</w:t>
            </w:r>
          </w:p>
        </w:tc>
        <w:tc>
          <w:tcPr>
            <w:tcW w:type="dxa" w:w="18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اتساق التفسير</w:t>
            </w:r>
          </w:p>
        </w:tc>
        <w:tc>
          <w:tcPr>
            <w:tcW w:type="dxa" w:w="10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96.8%</w:t>
            </w:r>
          </w:p>
        </w:tc>
        <w:tc>
          <w:tcPr>
            <w:tcW w:type="dxa" w:w="41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النص شديد الاختصار والتفاصيل التاريخية مختلف فيها، لذلك اقتصر التحليل على وظيفة الذكر دون بناء قصة غير منصوصة.</w:t>
            </w:r>
          </w:p>
        </w:tc>
        <w:tc>
          <w:tcPr>
            <w:tcW w:type="dxa" w:w="20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مراجعة علمية لمستوى الاستنباط.</w:t>
            </w:r>
          </w:p>
        </w:tc>
      </w:tr>
      <w:tr>
        <w:trPr/>
        <w:tc>
          <w:tcPr>
            <w:tcW w:type="dxa" w:w="151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5"/>
                <w:rtl/>
              </w:rPr>
              <w:t>المراجعة 3</w:t>
            </w:r>
          </w:p>
        </w:tc>
        <w:tc>
          <w:tcPr>
            <w:tcW w:type="dxa" w:w="1800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تدفق القصة</w:t>
            </w:r>
          </w:p>
        </w:tc>
        <w:tc>
          <w:tcPr>
            <w:tcW w:type="dxa" w:w="1080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98.8%</w:t>
            </w:r>
          </w:p>
        </w:tc>
        <w:tc>
          <w:tcPr>
            <w:tcW w:type="dxa" w:w="410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لا توجد حبكة تفصيلية في النص، فبُني التدفق بوصفه حركة حجاجية وتاريخية لا سردًا زمنيًا.</w:t>
            </w:r>
          </w:p>
        </w:tc>
        <w:tc>
          <w:tcPr>
            <w:tcW w:type="dxa" w:w="2088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مراجعة ملاءمة العنوان والقالب.</w:t>
            </w:r>
          </w:p>
        </w:tc>
      </w:tr>
      <w:tr>
        <w:trPr/>
        <w:tc>
          <w:tcPr>
            <w:tcW w:type="dxa" w:w="15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5"/>
                <w:rtl/>
              </w:rPr>
              <w:t>المراجعة 4</w:t>
            </w:r>
          </w:p>
        </w:tc>
        <w:tc>
          <w:tcPr>
            <w:tcW w:type="dxa" w:w="18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منطق قصة إبليس</w:t>
            </w:r>
          </w:p>
        </w:tc>
        <w:tc>
          <w:tcPr>
            <w:tcW w:type="dxa" w:w="10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98.9%</w:t>
            </w:r>
          </w:p>
        </w:tc>
        <w:tc>
          <w:tcPr>
            <w:tcW w:type="dxa" w:w="41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طُبق منطق السبب والقرار والعاقبة على نمط جماعي تاريخي، لكن قلة المشاهد تحد من التطابق البنيوي.</w:t>
            </w:r>
          </w:p>
        </w:tc>
        <w:tc>
          <w:tcPr>
            <w:tcW w:type="dxa" w:w="20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مراجعة القالب المرن.</w:t>
            </w:r>
          </w:p>
        </w:tc>
      </w:tr>
      <w:tr>
        <w:trPr/>
        <w:tc>
          <w:tcPr>
            <w:tcW w:type="dxa" w:w="151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5"/>
                <w:rtl/>
              </w:rPr>
              <w:t>المراجعة 5</w:t>
            </w:r>
          </w:p>
        </w:tc>
        <w:tc>
          <w:tcPr>
            <w:tcW w:type="dxa" w:w="1800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الصقل اللغوي</w:t>
            </w:r>
          </w:p>
        </w:tc>
        <w:tc>
          <w:tcPr>
            <w:tcW w:type="dxa" w:w="1080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99.2%</w:t>
            </w:r>
          </w:p>
        </w:tc>
        <w:tc>
          <w:tcPr>
            <w:tcW w:type="dxa" w:w="410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تم الحفاظ على الإيجاز، وقد تستفيد النسخة النهائية من اختصار إضافي لمنع التكرار المفاهيمي.</w:t>
            </w:r>
          </w:p>
        </w:tc>
        <w:tc>
          <w:tcPr>
            <w:tcW w:type="dxa" w:w="2088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تحرير نهائي موجز.</w:t>
            </w:r>
          </w:p>
        </w:tc>
      </w:tr>
      <w:tr>
        <w:trPr/>
        <w:tc>
          <w:tcPr>
            <w:tcW w:type="dxa" w:w="15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5"/>
                <w:rtl/>
              </w:rPr>
              <w:t>المراجعة 6</w:t>
            </w:r>
          </w:p>
        </w:tc>
        <w:tc>
          <w:tcPr>
            <w:tcW w:type="dxa" w:w="18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اتساق إطار المشروع</w:t>
            </w:r>
          </w:p>
        </w:tc>
        <w:tc>
          <w:tcPr>
            <w:tcW w:type="dxa" w:w="10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99.1%</w:t>
            </w:r>
          </w:p>
        </w:tc>
        <w:tc>
          <w:tcPr>
            <w:tcW w:type="dxa" w:w="41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يتطابق مع الاعتبار بالتاريخ والتحليل الاستراتيجي، وتبقى مقارنة نهائية بقصص الأمم.</w:t>
            </w:r>
          </w:p>
        </w:tc>
        <w:tc>
          <w:tcPr>
            <w:tcW w:type="dxa" w:w="20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مراجعة موضوعية.</w:t>
            </w:r>
          </w:p>
        </w:tc>
      </w:tr>
      <w:tr>
        <w:trPr/>
        <w:tc>
          <w:tcPr>
            <w:tcW w:type="dxa" w:w="151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5"/>
                <w:rtl/>
              </w:rPr>
              <w:t>النتيجة</w:t>
            </w:r>
          </w:p>
        </w:tc>
        <w:tc>
          <w:tcPr>
            <w:tcW w:type="dxa" w:w="1800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الجاهزية الإجمالية</w:t>
            </w:r>
          </w:p>
        </w:tc>
        <w:tc>
          <w:tcPr>
            <w:tcW w:type="dxa" w:w="1080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98.8%</w:t>
            </w:r>
          </w:p>
        </w:tc>
        <w:tc>
          <w:tcPr>
            <w:tcW w:type="dxa" w:w="410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عدم الوصول إلى 100% ناتج أساسًا من محدودية النص وتعدد الأخبار خارج القرآن، لا من نقص يجب ملؤه.</w:t>
            </w:r>
          </w:p>
        </w:tc>
        <w:tc>
          <w:tcPr>
            <w:tcW w:type="dxa" w:w="2088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5"/>
                <w:rtl/>
              </w:rPr>
              <w:t>اعتماد علمي محافظ.</w:t>
            </w:r>
          </w:p>
        </w:tc>
      </w:tr>
    </w:tbl>
    <w:p>
      <w:pPr>
        <w:spacing w:before="160" w:after="100" w:line="240" w:lineRule="auto"/>
        <w:jc w:val="right"/>
        <w:keepNext/>
        <w:bidi w:val="1"/>
      </w:pPr>
      <w:r>
        <w:rPr>
          <w:rFonts w:ascii="Noto Kufi Arabic" w:hAnsi="Noto Kufi Arabic" w:cs="Noto Kufi Arabic" w:eastAsia="Noto Kufi Arabic"/>
          <w:b/>
          <w:color w:val="1F4E79"/>
          <w:sz w:val="28"/>
          <w:rtl/>
        </w:rPr>
        <w:t>سجل التحسين التكراري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1D5DB"/>
          <w:left w:val="single" w:sz="5" w:color="D1D5DB"/>
          <w:bottom w:val="single" w:sz="5" w:color="D1D5DB"/>
          <w:right w:val="single" w:sz="5" w:color="D1D5DB"/>
          <w:insideH w:val="single" w:sz="5" w:color="D1D5DB"/>
          <w:insideV w:val="single" w:sz="5" w:color="D1D5DB"/>
        </w:tblBorders>
      </w:tblPr>
      <w:tblGrid>
        <w:gridCol w:w="3422"/>
        <w:gridCol w:w="3422"/>
        <w:gridCol w:w="3422"/>
      </w:tblGrid>
      <w:tr>
        <w:trPr>
          <w:tblHeader w:val="true"/>
        </w:trPr>
        <w:tc>
          <w:tcPr>
            <w:tcW w:type="dxa" w:w="158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الدورة</w:t>
            </w:r>
          </w:p>
        </w:tc>
        <w:tc>
          <w:tcPr>
            <w:tcW w:type="dxa" w:w="640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ما تم فحصه وتحسينه</w:t>
            </w:r>
          </w:p>
        </w:tc>
        <w:tc>
          <w:tcPr>
            <w:tcW w:type="dxa" w:w="252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الأثر</w:t>
            </w:r>
          </w:p>
        </w:tc>
      </w:tr>
      <w:tr>
        <w:trPr/>
        <w:tc>
          <w:tcPr>
            <w:tcW w:type="dxa" w:w="158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7"/>
                <w:rtl/>
              </w:rPr>
              <w:t>الدورة الأولى</w:t>
            </w:r>
          </w:p>
        </w:tc>
        <w:tc>
          <w:tcPr>
            <w:tcW w:type="dxa" w:w="6408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7"/>
                <w:rtl/>
              </w:rPr>
              <w:t>مطابقة عنوان القصة ونطاقات الآيات وترتيب المقاطع، ثم إعادة بناء الروابط بين المؤثر والتفكير والقرار والسلوك والعاقبة.</w:t>
            </w:r>
          </w:p>
        </w:tc>
        <w:tc>
          <w:tcPr>
            <w:tcW w:type="dxa" w:w="2520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7"/>
                <w:rtl/>
              </w:rPr>
              <w:t>رفع الدقة النصية وتماسك الحركة.</w:t>
            </w:r>
          </w:p>
        </w:tc>
      </w:tr>
      <w:tr>
        <w:trPr/>
        <w:tc>
          <w:tcPr>
            <w:tcW w:type="dxa" w:w="15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7"/>
                <w:rtl/>
              </w:rPr>
              <w:t>الدورة الثانية</w:t>
            </w:r>
          </w:p>
        </w:tc>
        <w:tc>
          <w:tcPr>
            <w:tcW w:type="dxa" w:w="64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7"/>
                <w:rtl/>
              </w:rPr>
              <w:t>مقارنة الوثيقة بقالب قصة إبليس وبملفات الدفعات السابقة، وصقل اللغة والجداول والتطبيقات والضوابط والتصميم.</w:t>
            </w:r>
          </w:p>
        </w:tc>
        <w:tc>
          <w:tcPr>
            <w:tcW w:type="dxa" w:w="25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7"/>
                <w:rtl/>
              </w:rPr>
              <w:t>رفع الاتساق والوضوح والجاهزية للتسليم.</w:t>
            </w:r>
          </w:p>
        </w:tc>
      </w:tr>
    </w:tbl>
    <w:p>
      <w:pPr>
        <w:spacing w:before="160" w:after="100" w:line="240" w:lineRule="auto"/>
        <w:jc w:val="right"/>
        <w:keepNext/>
        <w:bidi w:val="1"/>
      </w:pPr>
      <w:r>
        <w:rPr>
          <w:rFonts w:ascii="Noto Kufi Arabic" w:hAnsi="Noto Kufi Arabic" w:cs="Noto Kufi Arabic" w:eastAsia="Noto Kufi Arabic"/>
          <w:b/>
          <w:color w:val="1F4E79"/>
          <w:sz w:val="28"/>
          <w:rtl/>
        </w:rPr>
        <w:t>المراجع والمنهج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القرآن الكريم - أصل النص، مع إثبات المقاطع وفق ترتيب ملف Excel ومراجعة صحة نطاق السور والآيات.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سيد قطب، في ظلال القرآن - المرجع التفسيري الرئيس لقراءة وحدة السياق والحركة الإيمانية والنفسية والاجتماعية.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الطبري، ابن كثير، القرطبي، السعدي - مراجع مساندة لضبط المعنى المشهور ومواضع الاحتمال عند الحاجة.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التحليل النفسي والقيادي والإداري والتطبيقات المعاصرة صياغة أصلية ضمن إطار المشروع، وليست نقلًا حرفيًا من التفسير.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المرجع الإلكتروني المستخدم للمراجعة: https://www.islamweb.net/ar/library/content/210/1026/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المرجع الإلكتروني المستخدم للمراجعة: https://www.islamweb.net/ar/library/content/210/1060/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تم تجنب الإسرائيليات والتفاصيل التاريخية غير اللازمة، وحفظ الفرق بين دلالة النص والاستنباط التطبيقي.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63" w:right="821" w:bottom="763" w:left="8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/>
    <w:r>
      <w:rPr>
        <w:rFonts w:ascii="Noto Naskh Arabic" w:hAnsi="Noto Naskh Arabic" w:cs="Noto Naskh Arabic" w:eastAsia="Noto Naskh Arabic"/>
        <w:b w:val="0"/>
        <w:color w:val="6B7280"/>
        <w:sz w:val="17"/>
        <w:rtl/>
      </w:rPr>
      <w:t>إعداد وتحليل | أحمد لبيب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 w:val="1"/>
    </w:pPr>
    <w:r/>
    <w:r>
      <w:rPr>
        <w:rFonts w:ascii="Noto Kufi Arabic" w:hAnsi="Noto Kufi Arabic" w:cs="Noto Kufi Arabic" w:eastAsia="Noto Kufi Arabic"/>
        <w:b/>
        <w:color w:val="1F4E79"/>
        <w:sz w:val="17"/>
        <w:rtl/>
      </w:rPr>
      <w:t>قصص القرآن | قراءة تدبرية تطبيقية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