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  <w:keepNext w:val="0"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46"/>
          <w:rtl/>
        </w:rPr>
        <w:t>تقرير الجودة الموحد</w:t>
      </w:r>
    </w:p>
    <w:p>
      <w:pPr>
        <w:spacing w:before="0" w:after="120" w:line="276" w:lineRule="auto"/>
        <w:jc w:val="center"/>
        <w:keepNext w:val="0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6"/>
          <w:rtl/>
        </w:rPr>
        <w:t>الدفعة الختامية: القصص المتبقية في Excel من أصحاب الجنة إلى بداية الخلق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E6D5A5"/>
          <w:left w:val="single" w:sz="5" w:color="E6D5A5"/>
          <w:bottom w:val="single" w:sz="5" w:color="E6D5A5"/>
          <w:right w:val="single" w:sz="5" w:color="E6D5A5"/>
          <w:insideH w:val="single" w:sz="5" w:color="E6D5A5"/>
          <w:insideV w:val="single" w:sz="5" w:color="E6D5A5"/>
        </w:tblBorders>
      </w:tblPr>
      <w:tblGrid>
        <w:gridCol w:w="10368"/>
      </w:tblGrid>
      <w:tr>
        <w:tc>
          <w:tcPr>
            <w:tcW w:type="dxa" w:w="10239"/>
            <w:shd w:fill="FFF7E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9"/>
                <w:rtl/>
              </w:rPr>
              <w:t>منهج العمل: القرآن الكريم أصل النص، وفي ظلال القرآن المرجع التفسيري الرئيس، مع مراجعة المعنى العام في التفاسير المعتبرة عند الحاجة. الصياغة والتحليل والتطبيقات أصلية ومبنية على قالب قصة إبليس ومنطقها الحركي.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ملخص النتائج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blHeader w:val="true"/>
        </w:trPr>
        <w:tc>
          <w:tcPr>
            <w:tcW w:type="dxa" w:w="79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ملف</w:t>
            </w:r>
          </w:p>
        </w:tc>
        <w:tc>
          <w:tcPr>
            <w:tcW w:type="dxa" w:w="86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# Excel</w:t>
            </w:r>
          </w:p>
        </w:tc>
        <w:tc>
          <w:tcPr>
            <w:tcW w:type="dxa" w:w="194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القصة</w:t>
            </w:r>
          </w:p>
        </w:tc>
        <w:tc>
          <w:tcPr>
            <w:tcW w:type="dxa" w:w="93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الدقة</w:t>
            </w:r>
          </w:p>
        </w:tc>
        <w:tc>
          <w:tcPr>
            <w:tcW w:type="dxa" w:w="93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التفسير</w:t>
            </w:r>
          </w:p>
        </w:tc>
        <w:tc>
          <w:tcPr>
            <w:tcW w:type="dxa" w:w="93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التدفق</w:t>
            </w:r>
          </w:p>
        </w:tc>
        <w:tc>
          <w:tcPr>
            <w:tcW w:type="dxa" w:w="10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منطق إبليس</w:t>
            </w:r>
          </w:p>
        </w:tc>
        <w:tc>
          <w:tcPr>
            <w:tcW w:type="dxa" w:w="93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اللغة</w:t>
            </w:r>
          </w:p>
        </w:tc>
        <w:tc>
          <w:tcPr>
            <w:tcW w:type="dxa" w:w="108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الإجمالي</w:t>
            </w:r>
          </w:p>
        </w:tc>
      </w:tr>
      <w:tr>
        <w:trPr/>
        <w:tc>
          <w:tcPr>
            <w:tcW w:type="dxa" w:w="79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4"/>
                <w:rtl/>
              </w:rPr>
              <w:t>033</w:t>
            </w:r>
          </w:p>
        </w:tc>
        <w:tc>
          <w:tcPr>
            <w:tcW w:type="dxa" w:w="86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34</w:t>
            </w:r>
          </w:p>
        </w:tc>
        <w:tc>
          <w:tcPr>
            <w:tcW w:type="dxa" w:w="194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أصحاب الجنة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99.7%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98.8%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99.4%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99.4%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99.2%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99.3%</w:t>
            </w:r>
          </w:p>
        </w:tc>
      </w:tr>
      <w:tr>
        <w:trPr/>
        <w:tc>
          <w:tcPr>
            <w:tcW w:type="dxa" w:w="7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4"/>
                <w:rtl/>
              </w:rPr>
              <w:t>034</w:t>
            </w:r>
          </w:p>
        </w:tc>
        <w:tc>
          <w:tcPr>
            <w:tcW w:type="dxa" w:w="8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35</w:t>
            </w:r>
          </w:p>
        </w:tc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السامري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99.3%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97.9%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99.1%</w:t>
            </w:r>
          </w:p>
        </w:tc>
        <w:tc>
          <w:tcPr>
            <w:tcW w:type="dxa" w:w="10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99.3%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99.0%</w:t>
            </w:r>
          </w:p>
        </w:tc>
        <w:tc>
          <w:tcPr>
            <w:tcW w:type="dxa" w:w="10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99.0%</w:t>
            </w:r>
          </w:p>
        </w:tc>
      </w:tr>
      <w:tr>
        <w:trPr/>
        <w:tc>
          <w:tcPr>
            <w:tcW w:type="dxa" w:w="79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4"/>
                <w:rtl/>
              </w:rPr>
              <w:t>035</w:t>
            </w:r>
          </w:p>
        </w:tc>
        <w:tc>
          <w:tcPr>
            <w:tcW w:type="dxa" w:w="86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36</w:t>
            </w:r>
          </w:p>
        </w:tc>
        <w:tc>
          <w:tcPr>
            <w:tcW w:type="dxa" w:w="194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أصحاب القرية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99.5%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98.2%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99.4%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99.3%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99.1%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99.1%</w:t>
            </w:r>
          </w:p>
        </w:tc>
      </w:tr>
      <w:tr>
        <w:trPr/>
        <w:tc>
          <w:tcPr>
            <w:tcW w:type="dxa" w:w="7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4"/>
                <w:rtl/>
              </w:rPr>
              <w:t>036</w:t>
            </w:r>
          </w:p>
        </w:tc>
        <w:tc>
          <w:tcPr>
            <w:tcW w:type="dxa" w:w="8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37</w:t>
            </w:r>
          </w:p>
        </w:tc>
        <w:tc>
          <w:tcPr>
            <w:tcW w:type="dxa" w:w="194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تُبَّع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99.8%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96.8%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98.8%</w:t>
            </w:r>
          </w:p>
        </w:tc>
        <w:tc>
          <w:tcPr>
            <w:tcW w:type="dxa" w:w="10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98.9%</w:t>
            </w:r>
          </w:p>
        </w:tc>
        <w:tc>
          <w:tcPr>
            <w:tcW w:type="dxa" w:w="9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99.2%</w:t>
            </w:r>
          </w:p>
        </w:tc>
        <w:tc>
          <w:tcPr>
            <w:tcW w:type="dxa" w:w="10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98.8%</w:t>
            </w:r>
          </w:p>
        </w:tc>
      </w:tr>
      <w:tr>
        <w:trPr/>
        <w:tc>
          <w:tcPr>
            <w:tcW w:type="dxa" w:w="79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4"/>
                <w:rtl/>
              </w:rPr>
              <w:t>037</w:t>
            </w:r>
          </w:p>
        </w:tc>
        <w:tc>
          <w:tcPr>
            <w:tcW w:type="dxa" w:w="86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38</w:t>
            </w:r>
          </w:p>
        </w:tc>
        <w:tc>
          <w:tcPr>
            <w:tcW w:type="dxa" w:w="194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بداية الخلق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99.4%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97.8%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99.2%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99.1%</w:t>
            </w:r>
          </w:p>
        </w:tc>
        <w:tc>
          <w:tcPr>
            <w:tcW w:type="dxa" w:w="936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99.0%</w:t>
            </w:r>
          </w:p>
        </w:tc>
        <w:tc>
          <w:tcPr>
            <w:tcW w:type="dxa" w:w="1080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4"/>
                <w:rtl/>
              </w:rPr>
              <w:t>99.0%</w:t>
            </w:r>
          </w:p>
        </w:tc>
      </w:tr>
    </w:tbl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ما الذي يمنع الوصول إلى 100%؟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النص القرآني تمت مطابقته آليًا مع مصدر نصي محلي موثوق، لكن النشر الرسمي يحتاج تدقيقًا بشريًا للرسم والوقف والمقابلة المصحفية.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في ظلال القرآن هو المرجع التفسيري الرئيس، والصياغة أصلية؛ بعض الألفاظ والوقائع لها أقوال تفسيرية متعددة لا يصح إلغاؤها بنسبة يقين رقمية.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قصة تُبَّع شديدة الاختصار، ولذلك يعد الامتناع عن ملء الفراغ بالروايات جزءًا من الجودة لا نقصًا في عدد الصفحات.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قصة السامري وبداية الخلق تتضمنان مواضع عقدية دقيقة تحتاج اعتماد باحث شرعي متخصص قبل النشر العام.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قالب قصة إبليس طُبق بوصفه منطق حركة وتحول، لا عددًا جامدًا من المراحل، حفاظًا على طبيعة كل قصة.</w:t>
      </w:r>
    </w:p>
    <w:p>
      <w:pPr>
        <w:spacing w:after="6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/>
          <w:color w:val="B8860B"/>
          <w:sz w:val="21"/>
          <w:rtl/>
        </w:rPr>
        <w:t xml:space="preserve">• </w:t>
      </w:r>
      <w:r>
        <w:rPr>
          <w:rFonts w:ascii="Noto Naskh Arabic" w:hAnsi="Noto Naskh Arabic" w:cs="Noto Naskh Arabic" w:eastAsia="Noto Naskh Arabic"/>
          <w:b w:val="0"/>
          <w:color w:val="1F2937"/>
          <w:sz w:val="21"/>
          <w:rtl/>
        </w:rPr>
        <w:t>الاتساق النهائي للسلسلة لا يكتمل إلا بمراجعة جميع الملفات السابقة معًا من حيث المصطلحات والترقيم والعناوين.</w:t>
      </w:r>
    </w:p>
    <w:p>
      <w:pPr>
        <w:spacing w:before="160" w:after="100" w:line="240" w:lineRule="auto"/>
        <w:jc w:val="right"/>
        <w:keepNext/>
        <w:bidi w:val="1"/>
      </w:pPr>
      <w:r>
        <w:rPr>
          <w:rFonts w:ascii="Noto Kufi Arabic" w:hAnsi="Noto Kufi Arabic" w:cs="Noto Kufi Arabic" w:eastAsia="Noto Kufi Arabic"/>
          <w:b/>
          <w:color w:val="1F4E79"/>
          <w:sz w:val="28"/>
          <w:rtl/>
        </w:rPr>
        <w:t>التحسين التكراري المنفذ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1D5DB"/>
          <w:left w:val="single" w:sz="5" w:color="D1D5DB"/>
          <w:bottom w:val="single" w:sz="5" w:color="D1D5DB"/>
          <w:right w:val="single" w:sz="5" w:color="D1D5DB"/>
          <w:insideH w:val="single" w:sz="5" w:color="D1D5DB"/>
          <w:insideV w:val="single" w:sz="5" w:color="D1D5DB"/>
        </w:tblBorders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15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الدورة</w:t>
            </w:r>
          </w:p>
        </w:tc>
        <w:tc>
          <w:tcPr>
            <w:tcW w:type="dxa" w:w="604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نطاق الفحص</w:t>
            </w:r>
          </w:p>
        </w:tc>
        <w:tc>
          <w:tcPr>
            <w:tcW w:type="dxa" w:w="2592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color w:val="FFFFFF"/>
                <w:sz w:val="18"/>
                <w:rtl/>
              </w:rPr>
              <w:t>النتيجة</w:t>
            </w:r>
          </w:p>
        </w:tc>
      </w:tr>
      <w:tr>
        <w:trPr/>
        <w:tc>
          <w:tcPr>
            <w:tcW w:type="dxa" w:w="158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7"/>
                <w:rtl/>
              </w:rPr>
              <w:t>الدورة الأولى</w:t>
            </w:r>
          </w:p>
        </w:tc>
        <w:tc>
          <w:tcPr>
            <w:tcW w:type="dxa" w:w="6048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مطابقة الصفوف 34-38 في Excel، والعناوين المستقلة، ونطاقات السور والآيات، واكتمال وحدات القالب.</w:t>
            </w:r>
          </w:p>
        </w:tc>
        <w:tc>
          <w:tcPr>
            <w:tcW w:type="dxa" w:w="259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إغلاق فجوات المصدر والبنية.</w:t>
            </w:r>
          </w:p>
        </w:tc>
      </w:tr>
      <w:tr>
        <w:trPr/>
        <w:tc>
          <w:tcPr>
            <w:tcW w:type="dxa" w:w="15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7"/>
                <w:rtl/>
              </w:rPr>
              <w:t>الدورة الثانية</w:t>
            </w:r>
          </w:p>
        </w:tc>
        <w:tc>
          <w:tcPr>
            <w:tcW w:type="dxa" w:w="60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إعادة فحص الحركة النفسية والسبب والقرار والسلوك والعاقبة، وصقل اللغة والجداول والتطبيقات والضوابط.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رفع الاتساق والوضوح.</w:t>
            </w:r>
          </w:p>
        </w:tc>
      </w:tr>
      <w:tr>
        <w:trPr/>
        <w:tc>
          <w:tcPr>
            <w:tcW w:type="dxa" w:w="1584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/>
                <w:color w:val="1F4E79"/>
                <w:sz w:val="17"/>
                <w:rtl/>
              </w:rPr>
              <w:t>الفحص الفني</w:t>
            </w:r>
          </w:p>
        </w:tc>
        <w:tc>
          <w:tcPr>
            <w:tcW w:type="dxa" w:w="6048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تحويل ملفات DOCX إلى PDF، وفحص الصفحات المرئية، وحصر الصفحات والأحجام.</w:t>
            </w:r>
          </w:p>
        </w:tc>
        <w:tc>
          <w:tcPr>
            <w:tcW w:type="dxa" w:w="2592"/>
            <w:shd w:fill="F7FA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20" w:line="252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color w:val="1F2937"/>
                <w:sz w:val="17"/>
                <w:rtl/>
              </w:rPr>
              <w:t>بوابة تسليم قابلة للتدقيق.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/>
    <w:r>
      <w:rPr>
        <w:rFonts w:ascii="Noto Naskh Arabic" w:hAnsi="Noto Naskh Arabic" w:cs="Noto Naskh Arabic" w:eastAsia="Noto Naskh Arabic"/>
        <w:b w:val="0"/>
        <w:color w:val="6B7280"/>
        <w:sz w:val="17"/>
        <w:rtl/>
      </w:rPr>
      <w:t>إعداد وتحليل | أحمد لبيب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/>
    <w:r>
      <w:rPr>
        <w:rFonts w:ascii="Noto Kufi Arabic" w:hAnsi="Noto Kufi Arabic" w:cs="Noto Kufi Arabic" w:eastAsia="Noto Kufi Arabic"/>
        <w:b/>
        <w:color w:val="1F4E79"/>
        <w:sz w:val="17"/>
        <w:rtl/>
      </w:rPr>
      <w:t>قصص القرآن | تقرير الجودة النهائي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