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310"/>
      </w:tblGrid>
      <w:tr>
        <w:tc>
          <w:tcPr>
            <w:tcW w:type="dxa" w:w="10310"/>
            <w:shd w:fill="17365D"/>
            <w:tcBorders>
              <w:top w:val="single" w:sz="0" w:color="17365D"/>
              <w:left w:val="single" w:sz="0" w:color="17365D"/>
              <w:bottom w:val="single" w:sz="0" w:color="17365D"/>
              <w:right w:val="single" w:sz="0" w:color="17365D"/>
              <w:insideH w:val="single" w:sz="0" w:color="17365D"/>
              <w:insideV w:val="single" w:sz="0" w:color="17365D"/>
            </w:tcBorders>
            <w:tcMar>
              <w:top w:w="80" w:type="dxa"/>
              <w:left w:w="90" w:type="dxa"/>
              <w:bottom w:w="80" w:type="dxa"/>
              <w:right w:w="90" w:type="dxa"/>
            </w:tcMar>
          </w:tcPr>
          <w:p>
            <w:pPr>
              <w:spacing w:before="400" w:after="400"/>
              <w:jc w:val="center"/>
            </w:pPr>
            <w:r>
              <w:rPr>
                <w:rFonts w:ascii="Noto Sans Arabic" w:hAnsi="Noto Sans Arabic"/>
                <w:b/>
                <w:color w:val="FFFFFF"/>
                <w:sz w:val="46"/>
                <w:rtl w:val="1"/>
              </w:rPr>
              <w:t>شرح اكتشاف يوشينوري أوسومي وآلية الالتهام الذاتي</w:t>
            </w:r>
          </w:p>
        </w:tc>
      </w:tr>
    </w:tbl>
    <w:p>
      <w:pPr>
        <w:jc w:val="center"/>
      </w:pPr>
      <w:r>
        <w:rPr>
          <w:rFonts w:ascii="Noto Sans Arabic" w:hAnsi="Noto Sans Arabic"/>
          <w:color w:val="243447"/>
          <w:sz w:val="26"/>
          <w:rtl w:val="1"/>
        </w:rPr>
        <w:t>ملخص علمي مبسّط ودقيق عن جائزة نوبل 2016 وآلية إعادة التدوير داخل الخلية</w:t>
      </w:r>
    </w:p>
    <w:p>
      <w:pPr>
        <w:jc w:val="center"/>
      </w:pPr>
      <w:r>
        <w:rPr>
          <w:rFonts w:ascii="Noto Sans Arabic" w:hAnsi="Noto Sans Arabic"/>
          <w:color w:val="6B7280"/>
          <w:sz w:val="18"/>
          <w:rtl w:val="1"/>
        </w:rPr>
        <w:t>إعداد: Ahmed Labib  |  تاريخ الإصدار: 2 يوليو 2026</w:t>
      </w:r>
    </w:p>
    <w:p>
      <w:pPr>
        <w:spacing w:before="240" w:after="120"/>
        <w:jc w:val="right"/>
        <w:bidi w:val="1"/>
        <w:pBdr>
          <w:bottom w:val="single" w:sz="10" w:space="3" w:color="17365D"/>
        </w:pBdr>
      </w:pPr>
      <w:r>
        <w:rPr>
          <w:rFonts w:ascii="Noto Sans Arabic" w:hAnsi="Noto Sans Arabic"/>
          <w:b/>
          <w:color w:val="17365D"/>
          <w:sz w:val="32"/>
          <w:rtl w:val="1"/>
        </w:rPr>
        <w:t>الخلاصة التنفيذية</w:t>
      </w:r>
    </w:p>
    <w:p>
      <w:pPr>
        <w:spacing w:after="120" w:line="293" w:lineRule="auto"/>
        <w:jc w:val="right"/>
        <w:bidi w:val="1"/>
      </w:pPr>
      <w:r>
        <w:rPr>
          <w:rFonts w:ascii="Noto Sans Arabic" w:hAnsi="Noto Sans Arabic"/>
          <w:i w:val="0"/>
          <w:sz w:val="21"/>
          <w:rtl w:val="1"/>
        </w:rPr>
        <w:t>حصل العالم الياباني يوشينوري أوسومي على جائزة نوبل في الفسيولوجيا أو الطب لعام 2016 عن اكتشافاته المتعلقة بآليات الالتهام الذاتي (Autophagy). وقد ساعدت تجاربه على خميرة الخبز في تحديد الجينات والخطوات الأساسية التي تستخدمها الخلية لتجميع مكوّناتها التالفة وتفكيكها وإعادة استخدام نواتجها.</w:t>
      </w:r>
    </w:p>
    <w:p>
      <w:pPr>
        <w:spacing w:before="240" w:after="120"/>
        <w:jc w:val="right"/>
        <w:bidi w:val="1"/>
        <w:pBdr>
          <w:bottom w:val="single" w:sz="10" w:space="3" w:color="17365D"/>
        </w:pBdr>
      </w:pPr>
      <w:r>
        <w:rPr>
          <w:rFonts w:ascii="Noto Sans Arabic" w:hAnsi="Noto Sans Arabic"/>
          <w:b/>
          <w:color w:val="17365D"/>
          <w:sz w:val="32"/>
          <w:rtl w:val="1"/>
        </w:rPr>
        <w:t>كيف نفّذ أوسومي تجربته؟</w:t>
      </w:r>
    </w:p>
    <w:p>
      <w:pPr>
        <w:spacing w:after="80" w:line="276" w:lineRule="auto"/>
        <w:ind w:right="173" w:left="72"/>
        <w:jc w:val="right"/>
        <w:bidi w:val="1"/>
      </w:pPr>
      <w:r>
        <w:rPr>
          <w:rFonts w:ascii="Noto Sans Arabic" w:hAnsi="Noto Sans Arabic"/>
          <w:color w:val="243447"/>
          <w:sz w:val="20"/>
          <w:rtl w:val="1"/>
        </w:rPr>
        <w:t>•  استخدم خميرة الخبز لأنها خلية حقيقية النواة يسهل تعديل جيناتها ومراقبة الفجوة العصارية داخلها.</w:t>
      </w:r>
    </w:p>
    <w:p>
      <w:pPr>
        <w:spacing w:after="80" w:line="276" w:lineRule="auto"/>
        <w:ind w:right="173" w:left="72"/>
        <w:jc w:val="right"/>
        <w:bidi w:val="1"/>
      </w:pPr>
      <w:r>
        <w:rPr>
          <w:rFonts w:ascii="Noto Sans Arabic" w:hAnsi="Noto Sans Arabic"/>
          <w:color w:val="243447"/>
          <w:sz w:val="20"/>
          <w:rtl w:val="1"/>
        </w:rPr>
        <w:t>•  عطّل تفكيك المواد داخل الفجوة ثم عرّض الخلايا لنقص المغذيات، فتراكمت حويصلات الالتهام الذاتي وأصبحت مرئية بالمجهر.</w:t>
      </w:r>
    </w:p>
    <w:p>
      <w:pPr>
        <w:spacing w:after="80" w:line="276" w:lineRule="auto"/>
        <w:ind w:right="173" w:left="72"/>
        <w:jc w:val="right"/>
        <w:bidi w:val="1"/>
      </w:pPr>
      <w:r>
        <w:rPr>
          <w:rFonts w:ascii="Noto Sans Arabic" w:hAnsi="Noto Sans Arabic"/>
          <w:color w:val="243447"/>
          <w:sz w:val="20"/>
          <w:rtl w:val="1"/>
        </w:rPr>
        <w:t>•  استخدم طفرات جينية لتحديد الجينات الضرورية للعملية، ثم رسم شبكة الآليات البروتينية التي تنظم تكوين الحويصلة واندماجها مع حجرة التحلل.</w:t>
      </w:r>
    </w:p>
    <w:p>
      <w:pPr>
        <w:spacing w:after="80" w:line="276" w:lineRule="auto"/>
        <w:ind w:right="173" w:left="72"/>
        <w:jc w:val="right"/>
        <w:bidi w:val="1"/>
      </w:pPr>
      <w:r>
        <w:rPr>
          <w:rFonts w:ascii="Noto Sans Arabic" w:hAnsi="Noto Sans Arabic"/>
          <w:color w:val="243447"/>
          <w:sz w:val="20"/>
          <w:rtl w:val="1"/>
        </w:rPr>
        <w:t>•  أظهرت الأبحاث اللاحقة أن كثيرًا من هذه الآليات محفوظ تطوريًا ويعمل أيضًا في الخلايا البشرية.</w:t>
      </w:r>
    </w:p>
    <w:p>
      <w:pPr>
        <w:spacing w:before="240" w:after="120"/>
        <w:jc w:val="right"/>
        <w:bidi w:val="1"/>
        <w:pBdr>
          <w:bottom w:val="single" w:sz="10" w:space="3" w:color="17365D"/>
        </w:pBdr>
      </w:pPr>
      <w:r>
        <w:rPr>
          <w:rFonts w:ascii="Noto Sans Arabic" w:hAnsi="Noto Sans Arabic"/>
          <w:b/>
          <w:color w:val="17365D"/>
          <w:sz w:val="32"/>
          <w:rtl w:val="1"/>
        </w:rPr>
        <w:t>آلية الالتهام الذاتي خطوة بخطوة</w:t>
      </w:r>
    </w:p>
    <w:tbl>
      <w:tblPr>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3437"/>
            <w:shd w:fill="17365D"/>
            <w:vAlign w:val="center"/>
            <w:tcBorders>
              <w:top w:val="single" w:sz="6" w:color="D9E2F3"/>
              <w:left w:val="single" w:sz="6" w:color="D9E2F3"/>
              <w:bottom w:val="single" w:sz="6" w:color="D9E2F3"/>
              <w:right w:val="single" w:sz="6" w:color="D9E2F3"/>
              <w:insideH w:val="single" w:sz="6" w:color="D9E2F3"/>
              <w:insideV w:val="single" w:sz="6" w:color="D9E2F3"/>
            </w:tcBorders>
            <w:tcMar>
              <w:top w:w="80" w:type="dxa"/>
              <w:left w:w="90" w:type="dxa"/>
              <w:bottom w:w="80" w:type="dxa"/>
              <w:right w:w="90" w:type="dxa"/>
            </w:tcMar>
          </w:tcPr>
          <w:p>
            <w:pPr>
              <w:spacing w:after="0" w:before="0" w:line="252" w:lineRule="auto"/>
              <w:jc w:val="center"/>
              <w:bidi w:val="1"/>
            </w:pPr>
            <w:r/>
            <w:r>
              <w:rPr>
                <w:rFonts w:ascii="Noto Sans Arabic" w:hAnsi="Noto Sans Arabic"/>
                <w:b/>
                <w:color w:val="FFFFFF"/>
                <w:sz w:val="18"/>
                <w:rtl w:val="1"/>
              </w:rPr>
              <w:t>الخطوة</w:t>
            </w:r>
          </w:p>
        </w:tc>
        <w:tc>
          <w:tcPr>
            <w:tcW w:type="dxa" w:w="3437"/>
            <w:shd w:fill="17365D"/>
            <w:vAlign w:val="center"/>
            <w:tcBorders>
              <w:top w:val="single" w:sz="6" w:color="D9E2F3"/>
              <w:left w:val="single" w:sz="6" w:color="D9E2F3"/>
              <w:bottom w:val="single" w:sz="6" w:color="D9E2F3"/>
              <w:right w:val="single" w:sz="6" w:color="D9E2F3"/>
              <w:insideH w:val="single" w:sz="6" w:color="D9E2F3"/>
              <w:insideV w:val="single" w:sz="6" w:color="D9E2F3"/>
            </w:tcBorders>
            <w:tcMar>
              <w:top w:w="80" w:type="dxa"/>
              <w:left w:w="90" w:type="dxa"/>
              <w:bottom w:w="80" w:type="dxa"/>
              <w:right w:w="90" w:type="dxa"/>
            </w:tcMar>
          </w:tcPr>
          <w:p>
            <w:pPr>
              <w:spacing w:after="0" w:before="0" w:line="252" w:lineRule="auto"/>
              <w:jc w:val="center"/>
              <w:bidi w:val="1"/>
            </w:pPr>
            <w:r/>
            <w:r>
              <w:rPr>
                <w:rFonts w:ascii="Noto Sans Arabic" w:hAnsi="Noto Sans Arabic"/>
                <w:b/>
                <w:color w:val="FFFFFF"/>
                <w:sz w:val="18"/>
                <w:rtl w:val="1"/>
              </w:rPr>
              <w:t>المرحلة</w:t>
            </w:r>
          </w:p>
        </w:tc>
        <w:tc>
          <w:tcPr>
            <w:tcW w:type="dxa" w:w="3437"/>
            <w:shd w:fill="17365D"/>
            <w:vAlign w:val="center"/>
            <w:tcBorders>
              <w:top w:val="single" w:sz="6" w:color="D9E2F3"/>
              <w:left w:val="single" w:sz="6" w:color="D9E2F3"/>
              <w:bottom w:val="single" w:sz="6" w:color="D9E2F3"/>
              <w:right w:val="single" w:sz="6" w:color="D9E2F3"/>
              <w:insideH w:val="single" w:sz="6" w:color="D9E2F3"/>
              <w:insideV w:val="single" w:sz="6" w:color="D9E2F3"/>
            </w:tcBorders>
            <w:tcMar>
              <w:top w:w="80" w:type="dxa"/>
              <w:left w:w="90" w:type="dxa"/>
              <w:bottom w:w="80" w:type="dxa"/>
              <w:right w:w="90" w:type="dxa"/>
            </w:tcMar>
          </w:tcPr>
          <w:p>
            <w:pPr>
              <w:spacing w:after="0" w:before="0" w:line="252" w:lineRule="auto"/>
              <w:jc w:val="center"/>
              <w:bidi w:val="1"/>
            </w:pPr>
            <w:r/>
            <w:r>
              <w:rPr>
                <w:rFonts w:ascii="Noto Sans Arabic" w:hAnsi="Noto Sans Arabic"/>
                <w:b/>
                <w:color w:val="FFFFFF"/>
                <w:sz w:val="18"/>
                <w:rtl w:val="1"/>
              </w:rPr>
              <w:t>ماذا يحدث؟</w:t>
            </w:r>
          </w:p>
        </w:tc>
      </w:tr>
      <w:tr>
        <w:tc>
          <w:tcPr>
            <w:tcW w:type="dxa" w:w="3437"/>
            <w:shd w:fill="FFFFFF"/>
            <w:vAlign w:val="center"/>
            <w:tcBorders>
              <w:top w:val="single" w:sz="6" w:color="D9E2F3"/>
              <w:left w:val="single" w:sz="6" w:color="D9E2F3"/>
              <w:bottom w:val="single" w:sz="6" w:color="D9E2F3"/>
              <w:right w:val="single" w:sz="6" w:color="D9E2F3"/>
              <w:insideH w:val="single" w:sz="6" w:color="D9E2F3"/>
              <w:insideV w:val="single" w:sz="6" w:color="D9E2F3"/>
            </w:tcBorders>
            <w:tcMar>
              <w:top w:w="80" w:type="dxa"/>
              <w:left w:w="90" w:type="dxa"/>
              <w:bottom w:w="80" w:type="dxa"/>
              <w:right w:w="90" w:type="dxa"/>
            </w:tcMar>
          </w:tcPr>
          <w:p>
            <w:pPr>
              <w:spacing w:after="0" w:before="0" w:line="252" w:lineRule="auto"/>
              <w:jc w:val="right"/>
              <w:bidi w:val="1"/>
            </w:pPr>
            <w:r/>
            <w:r>
              <w:rPr>
                <w:rFonts w:ascii="Noto Sans Arabic" w:hAnsi="Noto Sans Arabic"/>
                <w:b w:val="0"/>
                <w:color w:val="243447"/>
                <w:sz w:val="18"/>
                <w:rtl w:val="1"/>
              </w:rPr>
              <w:t>1</w:t>
            </w:r>
          </w:p>
        </w:tc>
        <w:tc>
          <w:tcPr>
            <w:tcW w:type="dxa" w:w="3437"/>
            <w:shd w:fill="FFFFFF"/>
            <w:vAlign w:val="center"/>
            <w:tcBorders>
              <w:top w:val="single" w:sz="6" w:color="D9E2F3"/>
              <w:left w:val="single" w:sz="6" w:color="D9E2F3"/>
              <w:bottom w:val="single" w:sz="6" w:color="D9E2F3"/>
              <w:right w:val="single" w:sz="6" w:color="D9E2F3"/>
              <w:insideH w:val="single" w:sz="6" w:color="D9E2F3"/>
              <w:insideV w:val="single" w:sz="6" w:color="D9E2F3"/>
            </w:tcBorders>
            <w:tcMar>
              <w:top w:w="80" w:type="dxa"/>
              <w:left w:w="90" w:type="dxa"/>
              <w:bottom w:w="80" w:type="dxa"/>
              <w:right w:w="90" w:type="dxa"/>
            </w:tcMar>
          </w:tcPr>
          <w:p>
            <w:pPr>
              <w:spacing w:after="0" w:before="0" w:line="252" w:lineRule="auto"/>
              <w:jc w:val="right"/>
              <w:bidi w:val="1"/>
            </w:pPr>
            <w:r/>
            <w:r>
              <w:rPr>
                <w:rFonts w:ascii="Noto Sans Arabic" w:hAnsi="Noto Sans Arabic"/>
                <w:b w:val="0"/>
                <w:color w:val="243447"/>
                <w:sz w:val="18"/>
                <w:rtl w:val="1"/>
              </w:rPr>
              <w:t>إشارة البداية</w:t>
            </w:r>
          </w:p>
        </w:tc>
        <w:tc>
          <w:tcPr>
            <w:tcW w:type="dxa" w:w="3437"/>
            <w:shd w:fill="FFFFFF"/>
            <w:vAlign w:val="center"/>
            <w:tcBorders>
              <w:top w:val="single" w:sz="6" w:color="D9E2F3"/>
              <w:left w:val="single" w:sz="6" w:color="D9E2F3"/>
              <w:bottom w:val="single" w:sz="6" w:color="D9E2F3"/>
              <w:right w:val="single" w:sz="6" w:color="D9E2F3"/>
              <w:insideH w:val="single" w:sz="6" w:color="D9E2F3"/>
              <w:insideV w:val="single" w:sz="6" w:color="D9E2F3"/>
            </w:tcBorders>
            <w:tcMar>
              <w:top w:w="80" w:type="dxa"/>
              <w:left w:w="90" w:type="dxa"/>
              <w:bottom w:w="80" w:type="dxa"/>
              <w:right w:w="90" w:type="dxa"/>
            </w:tcMar>
          </w:tcPr>
          <w:p>
            <w:pPr>
              <w:spacing w:after="0" w:before="0" w:line="252" w:lineRule="auto"/>
              <w:jc w:val="right"/>
              <w:bidi w:val="1"/>
            </w:pPr>
            <w:r/>
            <w:r>
              <w:rPr>
                <w:rFonts w:ascii="Noto Sans Arabic" w:hAnsi="Noto Sans Arabic"/>
                <w:b w:val="0"/>
                <w:color w:val="243447"/>
                <w:sz w:val="18"/>
                <w:rtl w:val="1"/>
              </w:rPr>
              <w:t>تلتقط الخلية إشارات مثل نقص المغذيات أو التلف أو العدوى أو الضغط الخلوي.</w:t>
            </w:r>
          </w:p>
        </w:tc>
      </w:tr>
      <w:tr>
        <w:tc>
          <w:tcPr>
            <w:tcW w:type="dxa" w:w="3437"/>
            <w:shd w:fill="F7F9FC"/>
            <w:vAlign w:val="center"/>
            <w:tcBorders>
              <w:top w:val="single" w:sz="6" w:color="D9E2F3"/>
              <w:left w:val="single" w:sz="6" w:color="D9E2F3"/>
              <w:bottom w:val="single" w:sz="6" w:color="D9E2F3"/>
              <w:right w:val="single" w:sz="6" w:color="D9E2F3"/>
              <w:insideH w:val="single" w:sz="6" w:color="D9E2F3"/>
              <w:insideV w:val="single" w:sz="6" w:color="D9E2F3"/>
            </w:tcBorders>
            <w:tcMar>
              <w:top w:w="80" w:type="dxa"/>
              <w:left w:w="90" w:type="dxa"/>
              <w:bottom w:w="80" w:type="dxa"/>
              <w:right w:w="90" w:type="dxa"/>
            </w:tcMar>
          </w:tcPr>
          <w:p>
            <w:pPr>
              <w:spacing w:after="0" w:before="0" w:line="252" w:lineRule="auto"/>
              <w:jc w:val="right"/>
              <w:bidi w:val="1"/>
            </w:pPr>
            <w:r/>
            <w:r>
              <w:rPr>
                <w:rFonts w:ascii="Noto Sans Arabic" w:hAnsi="Noto Sans Arabic"/>
                <w:b w:val="0"/>
                <w:color w:val="243447"/>
                <w:sz w:val="18"/>
                <w:rtl w:val="1"/>
              </w:rPr>
              <w:t>2</w:t>
            </w:r>
          </w:p>
        </w:tc>
        <w:tc>
          <w:tcPr>
            <w:tcW w:type="dxa" w:w="3437"/>
            <w:shd w:fill="F7F9FC"/>
            <w:vAlign w:val="center"/>
            <w:tcBorders>
              <w:top w:val="single" w:sz="6" w:color="D9E2F3"/>
              <w:left w:val="single" w:sz="6" w:color="D9E2F3"/>
              <w:bottom w:val="single" w:sz="6" w:color="D9E2F3"/>
              <w:right w:val="single" w:sz="6" w:color="D9E2F3"/>
              <w:insideH w:val="single" w:sz="6" w:color="D9E2F3"/>
              <w:insideV w:val="single" w:sz="6" w:color="D9E2F3"/>
            </w:tcBorders>
            <w:tcMar>
              <w:top w:w="80" w:type="dxa"/>
              <w:left w:w="90" w:type="dxa"/>
              <w:bottom w:w="80" w:type="dxa"/>
              <w:right w:w="90" w:type="dxa"/>
            </w:tcMar>
          </w:tcPr>
          <w:p>
            <w:pPr>
              <w:spacing w:after="0" w:before="0" w:line="252" w:lineRule="auto"/>
              <w:jc w:val="right"/>
              <w:bidi w:val="1"/>
            </w:pPr>
            <w:r/>
            <w:r>
              <w:rPr>
                <w:rFonts w:ascii="Noto Sans Arabic" w:hAnsi="Noto Sans Arabic"/>
                <w:b w:val="0"/>
                <w:color w:val="243447"/>
                <w:sz w:val="18"/>
                <w:rtl w:val="1"/>
              </w:rPr>
              <w:t>تكوين الغشاء العازل</w:t>
            </w:r>
          </w:p>
        </w:tc>
        <w:tc>
          <w:tcPr>
            <w:tcW w:type="dxa" w:w="3437"/>
            <w:shd w:fill="F7F9FC"/>
            <w:vAlign w:val="center"/>
            <w:tcBorders>
              <w:top w:val="single" w:sz="6" w:color="D9E2F3"/>
              <w:left w:val="single" w:sz="6" w:color="D9E2F3"/>
              <w:bottom w:val="single" w:sz="6" w:color="D9E2F3"/>
              <w:right w:val="single" w:sz="6" w:color="D9E2F3"/>
              <w:insideH w:val="single" w:sz="6" w:color="D9E2F3"/>
              <w:insideV w:val="single" w:sz="6" w:color="D9E2F3"/>
            </w:tcBorders>
            <w:tcMar>
              <w:top w:w="80" w:type="dxa"/>
              <w:left w:w="90" w:type="dxa"/>
              <w:bottom w:w="80" w:type="dxa"/>
              <w:right w:w="90" w:type="dxa"/>
            </w:tcMar>
          </w:tcPr>
          <w:p>
            <w:pPr>
              <w:spacing w:after="0" w:before="0" w:line="252" w:lineRule="auto"/>
              <w:jc w:val="right"/>
              <w:bidi w:val="1"/>
            </w:pPr>
            <w:r/>
            <w:r>
              <w:rPr>
                <w:rFonts w:ascii="Noto Sans Arabic" w:hAnsi="Noto Sans Arabic"/>
                <w:b w:val="0"/>
                <w:color w:val="243447"/>
                <w:sz w:val="18"/>
                <w:rtl w:val="1"/>
              </w:rPr>
              <w:t>يبدأ غشاء هلالي في إحاطة البروتينات أو العضيات المراد التخلص منها.</w:t>
            </w:r>
          </w:p>
        </w:tc>
      </w:tr>
      <w:tr>
        <w:tc>
          <w:tcPr>
            <w:tcW w:type="dxa" w:w="3437"/>
            <w:shd w:fill="FFFFFF"/>
            <w:vAlign w:val="center"/>
            <w:tcBorders>
              <w:top w:val="single" w:sz="6" w:color="D9E2F3"/>
              <w:left w:val="single" w:sz="6" w:color="D9E2F3"/>
              <w:bottom w:val="single" w:sz="6" w:color="D9E2F3"/>
              <w:right w:val="single" w:sz="6" w:color="D9E2F3"/>
              <w:insideH w:val="single" w:sz="6" w:color="D9E2F3"/>
              <w:insideV w:val="single" w:sz="6" w:color="D9E2F3"/>
            </w:tcBorders>
            <w:tcMar>
              <w:top w:w="80" w:type="dxa"/>
              <w:left w:w="90" w:type="dxa"/>
              <w:bottom w:w="80" w:type="dxa"/>
              <w:right w:w="90" w:type="dxa"/>
            </w:tcMar>
          </w:tcPr>
          <w:p>
            <w:pPr>
              <w:spacing w:after="0" w:before="0" w:line="252" w:lineRule="auto"/>
              <w:jc w:val="right"/>
              <w:bidi w:val="1"/>
            </w:pPr>
            <w:r/>
            <w:r>
              <w:rPr>
                <w:rFonts w:ascii="Noto Sans Arabic" w:hAnsi="Noto Sans Arabic"/>
                <w:b w:val="0"/>
                <w:color w:val="243447"/>
                <w:sz w:val="18"/>
                <w:rtl w:val="1"/>
              </w:rPr>
              <w:t>3</w:t>
            </w:r>
          </w:p>
        </w:tc>
        <w:tc>
          <w:tcPr>
            <w:tcW w:type="dxa" w:w="3437"/>
            <w:shd w:fill="FFFFFF"/>
            <w:vAlign w:val="center"/>
            <w:tcBorders>
              <w:top w:val="single" w:sz="6" w:color="D9E2F3"/>
              <w:left w:val="single" w:sz="6" w:color="D9E2F3"/>
              <w:bottom w:val="single" w:sz="6" w:color="D9E2F3"/>
              <w:right w:val="single" w:sz="6" w:color="D9E2F3"/>
              <w:insideH w:val="single" w:sz="6" w:color="D9E2F3"/>
              <w:insideV w:val="single" w:sz="6" w:color="D9E2F3"/>
            </w:tcBorders>
            <w:tcMar>
              <w:top w:w="80" w:type="dxa"/>
              <w:left w:w="90" w:type="dxa"/>
              <w:bottom w:w="80" w:type="dxa"/>
              <w:right w:w="90" w:type="dxa"/>
            </w:tcMar>
          </w:tcPr>
          <w:p>
            <w:pPr>
              <w:spacing w:after="0" w:before="0" w:line="252" w:lineRule="auto"/>
              <w:jc w:val="right"/>
              <w:bidi w:val="1"/>
            </w:pPr>
            <w:r/>
            <w:r>
              <w:rPr>
                <w:rFonts w:ascii="Noto Sans Arabic" w:hAnsi="Noto Sans Arabic"/>
                <w:b w:val="0"/>
                <w:color w:val="243447"/>
                <w:sz w:val="18"/>
                <w:rtl w:val="1"/>
              </w:rPr>
              <w:t>تكوين الأوتوفاجوسوم</w:t>
            </w:r>
          </w:p>
        </w:tc>
        <w:tc>
          <w:tcPr>
            <w:tcW w:type="dxa" w:w="3437"/>
            <w:shd w:fill="FFFFFF"/>
            <w:vAlign w:val="center"/>
            <w:tcBorders>
              <w:top w:val="single" w:sz="6" w:color="D9E2F3"/>
              <w:left w:val="single" w:sz="6" w:color="D9E2F3"/>
              <w:bottom w:val="single" w:sz="6" w:color="D9E2F3"/>
              <w:right w:val="single" w:sz="6" w:color="D9E2F3"/>
              <w:insideH w:val="single" w:sz="6" w:color="D9E2F3"/>
              <w:insideV w:val="single" w:sz="6" w:color="D9E2F3"/>
            </w:tcBorders>
            <w:tcMar>
              <w:top w:w="80" w:type="dxa"/>
              <w:left w:w="90" w:type="dxa"/>
              <w:bottom w:w="80" w:type="dxa"/>
              <w:right w:w="90" w:type="dxa"/>
            </w:tcMar>
          </w:tcPr>
          <w:p>
            <w:pPr>
              <w:spacing w:after="0" w:before="0" w:line="252" w:lineRule="auto"/>
              <w:jc w:val="right"/>
              <w:bidi w:val="1"/>
            </w:pPr>
            <w:r/>
            <w:r>
              <w:rPr>
                <w:rFonts w:ascii="Noto Sans Arabic" w:hAnsi="Noto Sans Arabic"/>
                <w:b w:val="0"/>
                <w:color w:val="243447"/>
                <w:sz w:val="18"/>
                <w:rtl w:val="1"/>
              </w:rPr>
              <w:t>يغلق الغشاء مكوّنًا حويصلة مزدوجة الغشاء تُسمّى Autophagosome.</w:t>
            </w:r>
          </w:p>
        </w:tc>
      </w:tr>
      <w:tr>
        <w:tc>
          <w:tcPr>
            <w:tcW w:type="dxa" w:w="3437"/>
            <w:shd w:fill="F7F9FC"/>
            <w:vAlign w:val="center"/>
            <w:tcBorders>
              <w:top w:val="single" w:sz="6" w:color="D9E2F3"/>
              <w:left w:val="single" w:sz="6" w:color="D9E2F3"/>
              <w:bottom w:val="single" w:sz="6" w:color="D9E2F3"/>
              <w:right w:val="single" w:sz="6" w:color="D9E2F3"/>
              <w:insideH w:val="single" w:sz="6" w:color="D9E2F3"/>
              <w:insideV w:val="single" w:sz="6" w:color="D9E2F3"/>
            </w:tcBorders>
            <w:tcMar>
              <w:top w:w="80" w:type="dxa"/>
              <w:left w:w="90" w:type="dxa"/>
              <w:bottom w:w="80" w:type="dxa"/>
              <w:right w:w="90" w:type="dxa"/>
            </w:tcMar>
          </w:tcPr>
          <w:p>
            <w:pPr>
              <w:spacing w:after="0" w:before="0" w:line="252" w:lineRule="auto"/>
              <w:jc w:val="right"/>
              <w:bidi w:val="1"/>
            </w:pPr>
            <w:r/>
            <w:r>
              <w:rPr>
                <w:rFonts w:ascii="Noto Sans Arabic" w:hAnsi="Noto Sans Arabic"/>
                <w:b w:val="0"/>
                <w:color w:val="243447"/>
                <w:sz w:val="18"/>
                <w:rtl w:val="1"/>
              </w:rPr>
              <w:t>4</w:t>
            </w:r>
          </w:p>
        </w:tc>
        <w:tc>
          <w:tcPr>
            <w:tcW w:type="dxa" w:w="3437"/>
            <w:shd w:fill="F7F9FC"/>
            <w:vAlign w:val="center"/>
            <w:tcBorders>
              <w:top w:val="single" w:sz="6" w:color="D9E2F3"/>
              <w:left w:val="single" w:sz="6" w:color="D9E2F3"/>
              <w:bottom w:val="single" w:sz="6" w:color="D9E2F3"/>
              <w:right w:val="single" w:sz="6" w:color="D9E2F3"/>
              <w:insideH w:val="single" w:sz="6" w:color="D9E2F3"/>
              <w:insideV w:val="single" w:sz="6" w:color="D9E2F3"/>
            </w:tcBorders>
            <w:tcMar>
              <w:top w:w="80" w:type="dxa"/>
              <w:left w:w="90" w:type="dxa"/>
              <w:bottom w:w="80" w:type="dxa"/>
              <w:right w:w="90" w:type="dxa"/>
            </w:tcMar>
          </w:tcPr>
          <w:p>
            <w:pPr>
              <w:spacing w:after="0" w:before="0" w:line="252" w:lineRule="auto"/>
              <w:jc w:val="right"/>
              <w:bidi w:val="1"/>
            </w:pPr>
            <w:r/>
            <w:r>
              <w:rPr>
                <w:rFonts w:ascii="Noto Sans Arabic" w:hAnsi="Noto Sans Arabic"/>
                <w:b w:val="0"/>
                <w:color w:val="243447"/>
                <w:sz w:val="18"/>
                <w:rtl w:val="1"/>
              </w:rPr>
              <w:t>الاندماج مع الليسوسوم</w:t>
            </w:r>
          </w:p>
        </w:tc>
        <w:tc>
          <w:tcPr>
            <w:tcW w:type="dxa" w:w="3437"/>
            <w:shd w:fill="F7F9FC"/>
            <w:vAlign w:val="center"/>
            <w:tcBorders>
              <w:top w:val="single" w:sz="6" w:color="D9E2F3"/>
              <w:left w:val="single" w:sz="6" w:color="D9E2F3"/>
              <w:bottom w:val="single" w:sz="6" w:color="D9E2F3"/>
              <w:right w:val="single" w:sz="6" w:color="D9E2F3"/>
              <w:insideH w:val="single" w:sz="6" w:color="D9E2F3"/>
              <w:insideV w:val="single" w:sz="6" w:color="D9E2F3"/>
            </w:tcBorders>
            <w:tcMar>
              <w:top w:w="80" w:type="dxa"/>
              <w:left w:w="90" w:type="dxa"/>
              <w:bottom w:w="80" w:type="dxa"/>
              <w:right w:w="90" w:type="dxa"/>
            </w:tcMar>
          </w:tcPr>
          <w:p>
            <w:pPr>
              <w:spacing w:after="0" w:before="0" w:line="252" w:lineRule="auto"/>
              <w:jc w:val="right"/>
              <w:bidi w:val="1"/>
            </w:pPr>
            <w:r/>
            <w:r>
              <w:rPr>
                <w:rFonts w:ascii="Noto Sans Arabic" w:hAnsi="Noto Sans Arabic"/>
                <w:b w:val="0"/>
                <w:color w:val="243447"/>
                <w:sz w:val="18"/>
                <w:rtl w:val="1"/>
              </w:rPr>
              <w:t>تندمج الحويصلة مع الليسوسوم المحتوي على إنزيمات هاضمة.</w:t>
            </w:r>
          </w:p>
        </w:tc>
      </w:tr>
      <w:tr>
        <w:tc>
          <w:tcPr>
            <w:tcW w:type="dxa" w:w="3437"/>
            <w:shd w:fill="FFFFFF"/>
            <w:vAlign w:val="center"/>
            <w:tcBorders>
              <w:top w:val="single" w:sz="6" w:color="D9E2F3"/>
              <w:left w:val="single" w:sz="6" w:color="D9E2F3"/>
              <w:bottom w:val="single" w:sz="6" w:color="D9E2F3"/>
              <w:right w:val="single" w:sz="6" w:color="D9E2F3"/>
              <w:insideH w:val="single" w:sz="6" w:color="D9E2F3"/>
              <w:insideV w:val="single" w:sz="6" w:color="D9E2F3"/>
            </w:tcBorders>
            <w:tcMar>
              <w:top w:w="80" w:type="dxa"/>
              <w:left w:w="90" w:type="dxa"/>
              <w:bottom w:w="80" w:type="dxa"/>
              <w:right w:w="90" w:type="dxa"/>
            </w:tcMar>
          </w:tcPr>
          <w:p>
            <w:pPr>
              <w:spacing w:after="0" w:before="0" w:line="252" w:lineRule="auto"/>
              <w:jc w:val="right"/>
              <w:bidi w:val="1"/>
            </w:pPr>
            <w:r/>
            <w:r>
              <w:rPr>
                <w:rFonts w:ascii="Noto Sans Arabic" w:hAnsi="Noto Sans Arabic"/>
                <w:b w:val="0"/>
                <w:color w:val="243447"/>
                <w:sz w:val="18"/>
                <w:rtl w:val="1"/>
              </w:rPr>
              <w:t>5</w:t>
            </w:r>
          </w:p>
        </w:tc>
        <w:tc>
          <w:tcPr>
            <w:tcW w:type="dxa" w:w="3437"/>
            <w:shd w:fill="FFFFFF"/>
            <w:vAlign w:val="center"/>
            <w:tcBorders>
              <w:top w:val="single" w:sz="6" w:color="D9E2F3"/>
              <w:left w:val="single" w:sz="6" w:color="D9E2F3"/>
              <w:bottom w:val="single" w:sz="6" w:color="D9E2F3"/>
              <w:right w:val="single" w:sz="6" w:color="D9E2F3"/>
              <w:insideH w:val="single" w:sz="6" w:color="D9E2F3"/>
              <w:insideV w:val="single" w:sz="6" w:color="D9E2F3"/>
            </w:tcBorders>
            <w:tcMar>
              <w:top w:w="80" w:type="dxa"/>
              <w:left w:w="90" w:type="dxa"/>
              <w:bottom w:w="80" w:type="dxa"/>
              <w:right w:w="90" w:type="dxa"/>
            </w:tcMar>
          </w:tcPr>
          <w:p>
            <w:pPr>
              <w:spacing w:after="0" w:before="0" w:line="252" w:lineRule="auto"/>
              <w:jc w:val="right"/>
              <w:bidi w:val="1"/>
            </w:pPr>
            <w:r/>
            <w:r>
              <w:rPr>
                <w:rFonts w:ascii="Noto Sans Arabic" w:hAnsi="Noto Sans Arabic"/>
                <w:b w:val="0"/>
                <w:color w:val="243447"/>
                <w:sz w:val="18"/>
                <w:rtl w:val="1"/>
              </w:rPr>
              <w:t>التفكيك وإعادة الاستخدام</w:t>
            </w:r>
          </w:p>
        </w:tc>
        <w:tc>
          <w:tcPr>
            <w:tcW w:type="dxa" w:w="3437"/>
            <w:shd w:fill="FFFFFF"/>
            <w:vAlign w:val="center"/>
            <w:tcBorders>
              <w:top w:val="single" w:sz="6" w:color="D9E2F3"/>
              <w:left w:val="single" w:sz="6" w:color="D9E2F3"/>
              <w:bottom w:val="single" w:sz="6" w:color="D9E2F3"/>
              <w:right w:val="single" w:sz="6" w:color="D9E2F3"/>
              <w:insideH w:val="single" w:sz="6" w:color="D9E2F3"/>
              <w:insideV w:val="single" w:sz="6" w:color="D9E2F3"/>
            </w:tcBorders>
            <w:tcMar>
              <w:top w:w="80" w:type="dxa"/>
              <w:left w:w="90" w:type="dxa"/>
              <w:bottom w:w="80" w:type="dxa"/>
              <w:right w:w="90" w:type="dxa"/>
            </w:tcMar>
          </w:tcPr>
          <w:p>
            <w:pPr>
              <w:spacing w:after="0" w:before="0" w:line="252" w:lineRule="auto"/>
              <w:jc w:val="right"/>
              <w:bidi w:val="1"/>
            </w:pPr>
            <w:r/>
            <w:r>
              <w:rPr>
                <w:rFonts w:ascii="Noto Sans Arabic" w:hAnsi="Noto Sans Arabic"/>
                <w:b w:val="0"/>
                <w:color w:val="243447"/>
                <w:sz w:val="18"/>
                <w:rtl w:val="1"/>
              </w:rPr>
              <w:t>تتحول المحتويات إلى أحماض أمينية وأحماض دهنية ومكوّنات أصغر يمكن إعادة استخدامها.</w:t>
            </w:r>
          </w:p>
        </w:tc>
      </w:tr>
    </w:tbl>
    <w:p>
      <w:pPr>
        <w:spacing w:after="0"/>
      </w:pPr>
    </w:p>
    <w:p>
      <w:pPr>
        <w:spacing w:before="240" w:after="120"/>
        <w:jc w:val="right"/>
        <w:bidi w:val="1"/>
        <w:pBdr>
          <w:bottom w:val="single" w:sz="10" w:space="3" w:color="17365D"/>
        </w:pBdr>
      </w:pPr>
      <w:r>
        <w:rPr>
          <w:rFonts w:ascii="Noto Sans Arabic" w:hAnsi="Noto Sans Arabic"/>
          <w:b/>
          <w:color w:val="17365D"/>
          <w:sz w:val="32"/>
          <w:rtl w:val="1"/>
        </w:rPr>
        <w:t>الأهمية الطبية والبيولوجية</w:t>
      </w:r>
    </w:p>
    <w:p>
      <w:pPr>
        <w:spacing w:after="80" w:line="276" w:lineRule="auto"/>
        <w:ind w:right="173" w:left="72"/>
        <w:jc w:val="right"/>
        <w:bidi w:val="1"/>
      </w:pPr>
      <w:r>
        <w:rPr>
          <w:rFonts w:ascii="Noto Sans Arabic" w:hAnsi="Noto Sans Arabic"/>
          <w:color w:val="243447"/>
          <w:sz w:val="20"/>
          <w:rtl w:val="1"/>
        </w:rPr>
        <w:t>•  الحفاظ على جودة البروتينات والعضيات داخل الخلية.</w:t>
      </w:r>
    </w:p>
    <w:p>
      <w:pPr>
        <w:spacing w:after="80" w:line="276" w:lineRule="auto"/>
        <w:ind w:right="173" w:left="72"/>
        <w:jc w:val="right"/>
        <w:bidi w:val="1"/>
      </w:pPr>
      <w:r>
        <w:rPr>
          <w:rFonts w:ascii="Noto Sans Arabic" w:hAnsi="Noto Sans Arabic"/>
          <w:color w:val="243447"/>
          <w:sz w:val="20"/>
          <w:rtl w:val="1"/>
        </w:rPr>
        <w:t>•  المساهمة في الاستجابة للجوع والعدوى والضغط الخلوي.</w:t>
      </w:r>
    </w:p>
    <w:p>
      <w:pPr>
        <w:spacing w:after="80" w:line="276" w:lineRule="auto"/>
        <w:ind w:right="173" w:left="72"/>
        <w:jc w:val="right"/>
        <w:bidi w:val="1"/>
      </w:pPr>
      <w:r>
        <w:rPr>
          <w:rFonts w:ascii="Noto Sans Arabic" w:hAnsi="Noto Sans Arabic"/>
          <w:color w:val="243447"/>
          <w:sz w:val="20"/>
          <w:rtl w:val="1"/>
        </w:rPr>
        <w:t>•  الارتباط بأبحاث الشيخوخة، الأمراض العصبية، المناعة، والسرطان.</w:t>
      </w:r>
    </w:p>
    <w:p>
      <w:pPr>
        <w:spacing w:after="80" w:line="276" w:lineRule="auto"/>
        <w:ind w:right="173" w:left="72"/>
        <w:jc w:val="right"/>
        <w:bidi w:val="1"/>
      </w:pPr>
      <w:r>
        <w:rPr>
          <w:rFonts w:ascii="Noto Sans Arabic" w:hAnsi="Noto Sans Arabic"/>
          <w:color w:val="243447"/>
          <w:sz w:val="20"/>
          <w:rtl w:val="1"/>
        </w:rPr>
        <w:t>•  قد يكون أثر العملية مفيدًا أو ضارًا حسب المرض ومرحلته؛ لذلك لا تعني زيادة الالتهام الذاتي دائمًا فائدة صحية.</w:t>
      </w:r>
    </w:p>
    <w:tbl>
      <w:tblPr>
        <w:tblW w:type="auto" w:w="0"/>
        <w:jc w:val="center"/>
        <w:tblLook w:firstColumn="1" w:firstRow="1" w:lastColumn="0" w:lastRow="0" w:noHBand="0" w:noVBand="1" w:val="04A0"/>
      </w:tblPr>
      <w:tblGrid>
        <w:gridCol w:w="10310"/>
      </w:tblGrid>
      <w:tr>
        <w:tc>
          <w:tcPr>
            <w:tcW w:type="dxa" w:w="10310"/>
            <w:shd w:fill="BF9000"/>
            <w:vAlign w:val="center"/>
            <w:tcBorders>
              <w:top w:val="single" w:sz="6" w:color="D9E2F3"/>
              <w:left w:val="single" w:sz="6" w:color="D9E2F3"/>
              <w:bottom w:val="single" w:sz="6" w:color="D9E2F3"/>
              <w:right w:val="single" w:sz="6" w:color="D9E2F3"/>
              <w:insideH w:val="single" w:sz="6" w:color="D9E2F3"/>
              <w:insideV w:val="single" w:sz="6" w:color="D9E2F3"/>
            </w:tcBorders>
            <w:tcMar>
              <w:top w:w="80" w:type="dxa"/>
              <w:left w:w="90" w:type="dxa"/>
              <w:bottom w:w="80" w:type="dxa"/>
              <w:right w:w="90" w:type="dxa"/>
            </w:tcMar>
          </w:tcPr>
          <w:p>
            <w:pPr>
              <w:spacing w:after="0" w:before="0" w:line="252" w:lineRule="auto"/>
              <w:jc w:val="center"/>
              <w:bidi w:val="1"/>
            </w:pPr>
            <w:r/>
            <w:r>
              <w:rPr>
                <w:rFonts w:ascii="Noto Sans Arabic" w:hAnsi="Noto Sans Arabic"/>
                <w:b/>
                <w:color w:val="FFFFFF"/>
                <w:sz w:val="21"/>
                <w:rtl w:val="1"/>
              </w:rPr>
              <w:t>ما الذي لم تثبته جائزة نوبل؟</w:t>
            </w:r>
          </w:p>
        </w:tc>
      </w:tr>
      <w:tr>
        <w:tc>
          <w:tcPr>
            <w:tcW w:type="dxa" w:w="10310"/>
            <w:shd w:fill="FFF2CC"/>
            <w:vAlign w:val="center"/>
            <w:tcBorders>
              <w:top w:val="single" w:sz="6" w:color="D9E2F3"/>
              <w:left w:val="single" w:sz="6" w:color="D9E2F3"/>
              <w:bottom w:val="single" w:sz="6" w:color="D9E2F3"/>
              <w:right w:val="single" w:sz="6" w:color="D9E2F3"/>
              <w:insideH w:val="single" w:sz="6" w:color="D9E2F3"/>
              <w:insideV w:val="single" w:sz="6" w:color="D9E2F3"/>
            </w:tcBorders>
            <w:tcMar>
              <w:top w:w="80" w:type="dxa"/>
              <w:left w:w="90" w:type="dxa"/>
              <w:bottom w:w="80" w:type="dxa"/>
              <w:right w:w="90" w:type="dxa"/>
            </w:tcMar>
          </w:tcPr>
          <w:p>
            <w:pPr>
              <w:spacing w:after="0" w:before="0" w:line="252" w:lineRule="auto"/>
              <w:jc w:val="right"/>
              <w:bidi w:val="1"/>
            </w:pPr>
            <w:r/>
            <w:r>
              <w:rPr>
                <w:rFonts w:ascii="Noto Sans Arabic" w:hAnsi="Noto Sans Arabic"/>
                <w:b w:val="0"/>
                <w:color w:val="243447"/>
                <w:sz w:val="19"/>
                <w:rtl w:val="1"/>
              </w:rPr>
              <w:t>لم تثبت أن الصيام يعالج السرطان، ولم تحدد عدد ساعات صيام يصلح لجميع البشر، ولم تقل إن زيادة الالتهام الذاتي دائمًا مفيدة، ولم تعتمد الصيام المائي الطويل كعلاج طبي.</w:t>
            </w:r>
          </w:p>
        </w:tc>
      </w:tr>
    </w:tbl>
    <w:p>
      <w:pPr>
        <w:spacing w:after="0"/>
      </w:pPr>
    </w:p>
    <w:p>
      <w:pPr>
        <w:spacing w:before="240" w:after="120"/>
        <w:jc w:val="right"/>
        <w:bidi w:val="1"/>
        <w:pBdr>
          <w:bottom w:val="single" w:sz="10" w:space="3" w:color="17365D"/>
        </w:pBdr>
      </w:pPr>
      <w:r>
        <w:rPr>
          <w:rFonts w:ascii="Noto Sans Arabic" w:hAnsi="Noto Sans Arabic"/>
          <w:b/>
          <w:color w:val="17365D"/>
          <w:sz w:val="32"/>
          <w:rtl w:val="1"/>
        </w:rPr>
        <w:t>المراجع الأساسية</w:t>
      </w:r>
    </w:p>
    <w:p>
      <w:pPr>
        <w:spacing w:after="100"/>
        <w:jc w:val="right"/>
        <w:bidi w:val="1"/>
      </w:pPr>
      <w:r>
        <w:rPr>
          <w:rFonts w:ascii="Noto Sans Arabic" w:hAnsi="Noto Sans Arabic"/>
          <w:sz w:val="17"/>
          <w:rtl w:val="1"/>
        </w:rPr>
        <w:t xml:space="preserve">1. Nobel Prize Outreach. The Nobel Prize in Physiology or Medicine 2016 — Summary. </w:t>
      </w:r>
      <w:hyperlink r:id="rId12">
        <w:r>
          <w:rPr>
            <w:color w:val="2F75B5"/>
            <w:u w:val="single"/>
            <w:rtl w:val="1"/>
          </w:rPr>
          <w:t>الرابط الرسمي</w:t>
        </w:r>
      </w:hyperlink>
    </w:p>
    <w:p>
      <w:pPr>
        <w:spacing w:after="100"/>
        <w:jc w:val="right"/>
        <w:bidi w:val="1"/>
      </w:pPr>
      <w:r>
        <w:rPr>
          <w:rFonts w:ascii="Noto Sans Arabic" w:hAnsi="Noto Sans Arabic"/>
          <w:sz w:val="17"/>
          <w:rtl w:val="1"/>
        </w:rPr>
        <w:t xml:space="preserve">2. Nobel Prize Outreach. Press release: Yoshinori Ohsumi and mechanisms for autophagy. 3 October 2016. </w:t>
      </w:r>
      <w:hyperlink r:id="rId13">
        <w:r>
          <w:rPr>
            <w:color w:val="2F75B5"/>
            <w:u w:val="single"/>
            <w:rtl w:val="1"/>
          </w:rPr>
          <w:t>الرابط الرسمي</w:t>
        </w:r>
      </w:hyperlink>
    </w:p>
    <w:sectPr w:rsidR="00FC693F" w:rsidRPr="0006063C" w:rsidSect="00034616">
      <w:headerReference w:type="default" r:id="rId9"/>
      <w:footerReference w:type="default" r:id="rId10"/>
      <w:pgSz w:w="12240" w:h="15840"/>
      <w:pgMar w:top="893" w:right="965" w:bottom="893" w:left="96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Arabic" w:hAnsi="Noto Sans Arabic"/>
        <w:color w:val="6B7280"/>
        <w:sz w:val="16"/>
        <w:rtl w:val="1"/>
      </w:rPr>
      <w:t xml:space="preserve">إعداد رسمي لصالح Ahmed Labib  |  2 يوليو 2026  |  صفحة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Pr>
    <w:r>
      <w:rPr>
        <w:rFonts w:ascii="Noto Sans Arabic" w:hAnsi="Noto Sans Arabic"/>
        <w:b/>
        <w:color w:val="17365D"/>
        <w:sz w:val="18"/>
        <w:rtl w:val="1"/>
      </w:rPr>
      <w:t>شرح اكتشاف يوشينوري أوسومي وآلية الالتهام الذاتي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Arabic" w:hAnsi="Noto Sans Arab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www.nobelprize.org/prizes/medicine/2016/summary/" TargetMode="External"/><Relationship Id="rId13" Type="http://schemas.openxmlformats.org/officeDocument/2006/relationships/hyperlink" Target="https://www.nobelprize.org/prizes/medicine/2016/press-relea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شرح اكتشاف يوشينوري أوسومي وآلية الالتهام الذاتي</dc:title>
  <dc:subject/>
  <dc:creator>Ahmed Labib</dc:creator>
  <cp:keywords/>
  <dc:description>generated by python-docx</dc:description>
  <cp:lastModifiedBy/>
  <cp:revision>1</cp:revision>
  <dcterms:created xsi:type="dcterms:W3CDTF">2013-12-23T23:15:00Z</dcterms:created>
  <dcterms:modified xsi:type="dcterms:W3CDTF">2013-12-23T23:15:00Z</dcterms:modified>
  <cp:category/>
</cp:coreProperties>
</file>