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0"/>
      </w:tblGrid>
      <w:tr>
        <w:tc>
          <w:tcPr>
            <w:tcW w:type="dxa" w:w="10310"/>
            <w:shd w:fill="2F75B5"/>
            <w:tcBorders>
              <w:top w:val="single" w:sz="0" w:color="2F75B5"/>
              <w:left w:val="single" w:sz="0" w:color="2F75B5"/>
              <w:bottom w:val="single" w:sz="0" w:color="2F75B5"/>
              <w:right w:val="single" w:sz="0" w:color="2F75B5"/>
              <w:insideH w:val="single" w:sz="0" w:color="2F75B5"/>
              <w:insideV w:val="single" w:sz="0" w:color="2F75B5"/>
            </w:tcBorders>
            <w:tcMar>
              <w:top w:w="80" w:type="dxa"/>
              <w:left w:w="90" w:type="dxa"/>
              <w:bottom w:w="80" w:type="dxa"/>
              <w:right w:w="90" w:type="dxa"/>
            </w:tcMar>
          </w:tcPr>
          <w:p>
            <w:pPr>
              <w:spacing w:before="400" w:after="400"/>
              <w:jc w:val="center"/>
            </w:pPr>
            <w:r>
              <w:rPr>
                <w:rFonts w:ascii="Noto Sans Arabic" w:hAnsi="Noto Sans Arabic"/>
                <w:b/>
                <w:color w:val="FFFFFF"/>
                <w:sz w:val="46"/>
                <w:rtl w:val="1"/>
              </w:rPr>
              <w:t>مراجعة علمية للصيام والأوتوفاجي والسرطان</w:t>
            </w:r>
          </w:p>
        </w:tc>
      </w:tr>
    </w:tbl>
    <w:p>
      <w:pPr>
        <w:jc w:val="center"/>
      </w:pPr>
      <w:r>
        <w:rPr>
          <w:rFonts w:ascii="Noto Sans Arabic" w:hAnsi="Noto Sans Arabic"/>
          <w:color w:val="243447"/>
          <w:sz w:val="26"/>
          <w:rtl w:val="1"/>
        </w:rPr>
        <w:t>مراجعة متدرجة للأدلة من المختبر والحيوان إلى الدراسات البشرية</w:t>
      </w:r>
    </w:p>
    <w:p>
      <w:pPr>
        <w:jc w:val="center"/>
      </w:pPr>
      <w:r>
        <w:rPr>
          <w:rFonts w:ascii="Noto Sans Arabic" w:hAnsi="Noto Sans Arabic"/>
          <w:color w:val="6B7280"/>
          <w:sz w:val="18"/>
          <w:rtl w:val="1"/>
        </w:rPr>
        <w:t>إعداد: Ahmed Labib  |  تاريخ الإصدار: 2 يوليو 2026</w:t>
      </w:r>
    </w:p>
    <w:tbl>
      <w:tblPr>
        <w:tblW w:type="auto" w:w="0"/>
        <w:jc w:val="center"/>
        <w:tblLook w:firstColumn="1" w:firstRow="1" w:lastColumn="0" w:lastRow="0" w:noHBand="0" w:noVBand="1" w:val="04A0"/>
      </w:tblPr>
      <w:tblGrid>
        <w:gridCol w:w="10310"/>
      </w:tblGrid>
      <w:tr>
        <w:tc>
          <w:tcPr>
            <w:tcW w:type="dxa" w:w="10310"/>
            <w:shd w:fill="C0392B"/>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21"/>
                <w:rtl w:val="1"/>
              </w:rPr>
              <w:t>تنبيه مهم</w:t>
            </w:r>
          </w:p>
        </w:tc>
      </w:tr>
      <w:tr>
        <w:tc>
          <w:tcPr>
            <w:tcW w:type="dxa" w:w="10310"/>
            <w:shd w:fill="FDEDE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9"/>
                <w:rtl w:val="1"/>
              </w:rPr>
              <w:t>هذا الملف مراجعة علمية وليس وصفة علاجية. لا يجوز استخدام الصيام بدل علاج السرطان أو تعديل جدول العلاج دون موافقة طبيب الأورام.</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العلاقة بين الصيام والأوتوفاجي</w:t>
      </w:r>
    </w:p>
    <w:p>
      <w:pPr>
        <w:spacing w:after="120" w:line="293" w:lineRule="auto"/>
        <w:jc w:val="right"/>
        <w:bidi w:val="1"/>
      </w:pPr>
      <w:r>
        <w:rPr>
          <w:rFonts w:ascii="Noto Sans Arabic" w:hAnsi="Noto Sans Arabic"/>
          <w:i w:val="0"/>
          <w:sz w:val="21"/>
          <w:rtl w:val="1"/>
        </w:rPr>
        <w:t>يؤثر الصيام في الجلوكوز والإنسولين ومخزون الجليكوجين واستخدام الدهون وإنتاج الكيتونات ومسارات استشعار المغذيات. ويمكن لهذه التغيرات أن تعدّل إشارات مرتبطة بالالتهام الذاتي. لكن قياس الالتهام الذاتي داخل أعضاء الإنسان صعب، ولا توجد ساعة موحّدة تقول إن العملية تبدأ عند عدد ثابت من الساعات لدى الجميع.</w:t>
      </w:r>
    </w:p>
    <w:p>
      <w:pPr>
        <w:spacing w:before="240" w:after="120"/>
        <w:jc w:val="right"/>
        <w:bidi w:val="1"/>
        <w:pBdr>
          <w:bottom w:val="single" w:sz="10" w:space="3" w:color="17365D"/>
        </w:pBdr>
      </w:pPr>
      <w:r>
        <w:rPr>
          <w:rFonts w:ascii="Noto Sans Arabic" w:hAnsi="Noto Sans Arabic"/>
          <w:b/>
          <w:color w:val="17365D"/>
          <w:sz w:val="32"/>
          <w:rtl w:val="1"/>
        </w:rPr>
        <w:t>هرم قوة الأدلة</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shd w:fill="2F75B5"/>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نوع الدليل</w:t>
            </w:r>
          </w:p>
        </w:tc>
        <w:tc>
          <w:tcPr>
            <w:tcW w:type="dxa" w:w="2577"/>
            <w:shd w:fill="2F75B5"/>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النتيجة المعتادة</w:t>
            </w:r>
          </w:p>
        </w:tc>
        <w:tc>
          <w:tcPr>
            <w:tcW w:type="dxa" w:w="2577"/>
            <w:shd w:fill="2F75B5"/>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القوة</w:t>
            </w:r>
          </w:p>
        </w:tc>
        <w:tc>
          <w:tcPr>
            <w:tcW w:type="dxa" w:w="2577"/>
            <w:shd w:fill="2F75B5"/>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التفسير السريري</w:t>
            </w:r>
          </w:p>
        </w:tc>
      </w:tr>
      <w:tr>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خميرة وخلايا مخبرية</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آليات جزيئية وجينات واضحة</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قوي لفهم الآلية</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لا يحدد برنامج صيام آمنًا للإنسان</w:t>
            </w:r>
          </w:p>
        </w:tc>
      </w:tr>
      <w:tr>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نماذج حيوانية</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تأثيرات محتملة في الأيض والورم والاستجابة للعلاج</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واعد لكنه قبل سريري</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يحتاج إلى تأكيد بشري</w:t>
            </w:r>
          </w:p>
        </w:tc>
      </w:tr>
      <w:tr>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دراسات بشرية صغيرة</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اختبار الجدوى والتحمل لدى مجموعات منتقاة</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يقين منخفض</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لا يكفي لاعتماد روتيني</w:t>
            </w:r>
          </w:p>
        </w:tc>
      </w:tr>
      <w:tr>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تجارب كبيرة بنتائج البقاء</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محدودة أو غير متاحة لمعظم الأسئلة</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غير كافٍ</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لا توجد خطة صيام مثبتة لشفاء السرطان</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ما الذي دُرس في السرطان؟</w:t>
      </w:r>
    </w:p>
    <w:p>
      <w:pPr>
        <w:spacing w:after="80" w:line="276" w:lineRule="auto"/>
        <w:ind w:right="173" w:left="72"/>
        <w:jc w:val="right"/>
        <w:bidi w:val="1"/>
      </w:pPr>
      <w:r>
        <w:rPr>
          <w:rFonts w:ascii="Noto Sans Arabic" w:hAnsi="Noto Sans Arabic"/>
          <w:color w:val="243447"/>
          <w:sz w:val="20"/>
          <w:rtl w:val="1"/>
        </w:rPr>
        <w:t>•  حالات فردية ودراسات تجريبية صغيرة للصيام القصير حول بعض دورات العلاج الكيميائي.</w:t>
      </w:r>
    </w:p>
    <w:p>
      <w:pPr>
        <w:spacing w:after="80" w:line="276" w:lineRule="auto"/>
        <w:ind w:right="173" w:left="72"/>
        <w:jc w:val="right"/>
        <w:bidi w:val="1"/>
      </w:pPr>
      <w:r>
        <w:rPr>
          <w:rFonts w:ascii="Noto Sans Arabic" w:hAnsi="Noto Sans Arabic"/>
          <w:color w:val="243447"/>
          <w:sz w:val="20"/>
          <w:rtl w:val="1"/>
        </w:rPr>
        <w:t>•  أنظمة تحاكي الصيام تُعطى في دورات وتحت إشراف بحثي.</w:t>
      </w:r>
    </w:p>
    <w:p>
      <w:pPr>
        <w:spacing w:after="80" w:line="276" w:lineRule="auto"/>
        <w:ind w:right="173" w:left="72"/>
        <w:jc w:val="right"/>
        <w:bidi w:val="1"/>
      </w:pPr>
      <w:r>
        <w:rPr>
          <w:rFonts w:ascii="Noto Sans Arabic" w:hAnsi="Noto Sans Arabic"/>
          <w:color w:val="243447"/>
          <w:sz w:val="20"/>
          <w:rtl w:val="1"/>
        </w:rPr>
        <w:t>•  دراسات خلوية وحيوانية حول الجلوكوز وIGF-1 والمناعة وحساسية الورم للعلاج.</w:t>
      </w:r>
    </w:p>
    <w:p>
      <w:pPr>
        <w:spacing w:after="80" w:line="276" w:lineRule="auto"/>
        <w:ind w:right="173" w:left="72"/>
        <w:jc w:val="right"/>
        <w:bidi w:val="1"/>
      </w:pPr>
      <w:r>
        <w:rPr>
          <w:rFonts w:ascii="Noto Sans Arabic" w:hAnsi="Noto Sans Arabic"/>
          <w:color w:val="243447"/>
          <w:sz w:val="20"/>
          <w:rtl w:val="1"/>
        </w:rPr>
        <w:t>•  توقيت الوجبات والصيام المتقطع في غير المصابين بالسرطان لأهداف الوزن والصحة الأيضية.</w:t>
      </w:r>
    </w:p>
    <w:p>
      <w:pPr>
        <w:spacing w:before="240" w:after="120"/>
        <w:jc w:val="right"/>
        <w:bidi w:val="1"/>
        <w:pBdr>
          <w:bottom w:val="single" w:sz="10" w:space="3" w:color="17365D"/>
        </w:pBdr>
      </w:pPr>
      <w:r>
        <w:rPr>
          <w:rFonts w:ascii="Noto Sans Arabic" w:hAnsi="Noto Sans Arabic"/>
          <w:b/>
          <w:color w:val="17365D"/>
          <w:sz w:val="32"/>
          <w:rtl w:val="1"/>
        </w:rPr>
        <w:t>لماذا العلاقة مع السرطان معقدة؟</w:t>
      </w:r>
    </w:p>
    <w:p>
      <w:pPr>
        <w:spacing w:after="120" w:line="293" w:lineRule="auto"/>
        <w:jc w:val="right"/>
        <w:bidi w:val="1"/>
      </w:pPr>
      <w:r>
        <w:rPr>
          <w:rFonts w:ascii="Noto Sans Arabic" w:hAnsi="Noto Sans Arabic"/>
          <w:i w:val="0"/>
          <w:sz w:val="21"/>
          <w:rtl w:val="1"/>
        </w:rPr>
        <w:t>يمكن للالتهام الذاتي أن يساعد الخلايا الطبيعية على إزالة التلف، وقد يساهم في منع تراكم أضرار مبكرة. وفي المقابل قد تستخدم بعض الأورام القائمة الالتهام الذاتي لتوفير الطاقة والبقاء تحت الضغط. لذلك فإن فكرة «زيادة الأوتوفاجي تقتل كل السرطان» تبسيط غير صحيح بيولوجيًا.</w:t>
      </w:r>
    </w:p>
    <w:tbl>
      <w:tblPr>
        <w:tblW w:type="auto" w:w="0"/>
        <w:jc w:val="center"/>
        <w:tblLook w:firstColumn="1" w:firstRow="1" w:lastColumn="0" w:lastRow="0" w:noHBand="0" w:noVBand="1" w:val="04A0"/>
      </w:tblPr>
      <w:tblGrid>
        <w:gridCol w:w="10310"/>
      </w:tblGrid>
      <w:tr>
        <w:tc>
          <w:tcPr>
            <w:tcW w:type="dxa" w:w="10310"/>
            <w:shd w:fill="C0392B"/>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21"/>
                <w:rtl w:val="1"/>
              </w:rPr>
              <w:t>الموقف الغذائي أثناء العلاج</w:t>
            </w:r>
          </w:p>
        </w:tc>
      </w:tr>
      <w:tr>
        <w:tc>
          <w:tcPr>
            <w:tcW w:type="dxa" w:w="10310"/>
            <w:shd w:fill="FDEDE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9"/>
                <w:rtl w:val="1"/>
              </w:rPr>
              <w:t>تؤكد إرشادات ESPEN أن سوء التغذية وفقد العضلات من المخاطر المهمة لدى مرضى السرطان. وتوصي بعدم تطبيق الحميات المقيّدة للطاقة لدى المريض المصاب بسوء تغذية أو المعرّض له. كما أن الدراسات البشرية الصغيرة لم تثبت فائدة كافية لاعتماد الصيام قبل العلاج المضاد للسرطان أو أثناءه أو بعده كإجراء روتيني.</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الفوائد المحتملة مقابل المخاطر</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shd w:fill="7030A0"/>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الفائدة المحتملة في سياقات محددة</w:t>
            </w:r>
          </w:p>
        </w:tc>
        <w:tc>
          <w:tcPr>
            <w:tcW w:type="dxa" w:w="5155"/>
            <w:shd w:fill="7030A0"/>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الخطر السريري خصوصًا للمريض</w:t>
            </w:r>
          </w:p>
        </w:tc>
      </w:tr>
      <w:tr>
        <w:tc>
          <w:tcPr>
            <w:tcW w:type="dxa" w:w="5155"/>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إشارات أيضية أقل ومرونة أيضية أفضل</w:t>
            </w:r>
          </w:p>
        </w:tc>
        <w:tc>
          <w:tcPr>
            <w:tcW w:type="dxa" w:w="5155"/>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احتمال نقص السعرات والبروتين</w:t>
            </w:r>
          </w:p>
        </w:tc>
      </w:tr>
      <w:tr>
        <w:tc>
          <w:tcPr>
            <w:tcW w:type="dxa" w:w="5155"/>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تحسن الوزن أو الجلوكوز لدى بعض البالغين الأصحاء</w:t>
            </w:r>
          </w:p>
        </w:tc>
        <w:tc>
          <w:tcPr>
            <w:tcW w:type="dxa" w:w="5155"/>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هبوط السكر مع الأدوية</w:t>
            </w:r>
          </w:p>
        </w:tc>
      </w:tr>
      <w:tr>
        <w:tc>
          <w:tcPr>
            <w:tcW w:type="dxa" w:w="5155"/>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فرضيات بحثية حول حساسية الورم للعلاج</w:t>
            </w:r>
          </w:p>
        </w:tc>
        <w:tc>
          <w:tcPr>
            <w:tcW w:type="dxa" w:w="5155"/>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جفاف واضطراب أملاح وضعف</w:t>
            </w:r>
          </w:p>
        </w:tc>
      </w:tr>
      <w:tr>
        <w:tc>
          <w:tcPr>
            <w:tcW w:type="dxa" w:w="5155"/>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تنظيم توقيت الأكل والنوم</w:t>
            </w:r>
          </w:p>
        </w:tc>
        <w:tc>
          <w:tcPr>
            <w:tcW w:type="dxa" w:w="5155"/>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8"/>
                <w:rtl w:val="1"/>
              </w:rPr>
              <w:t>فقد عضلات وتدهور تحمل العلاج</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الاستنتاج</w:t>
      </w:r>
    </w:p>
    <w:p>
      <w:pPr>
        <w:spacing w:after="120" w:line="293" w:lineRule="auto"/>
        <w:jc w:val="right"/>
        <w:bidi w:val="1"/>
      </w:pPr>
      <w:r>
        <w:rPr>
          <w:rFonts w:ascii="Noto Sans Arabic" w:hAnsi="Noto Sans Arabic"/>
          <w:i w:val="0"/>
          <w:sz w:val="21"/>
          <w:rtl w:val="1"/>
        </w:rPr>
        <w:t>الدليل قوي على وجود الالتهام الذاتي كآلية خلوية، ومتوسط إلى جيد لبعض فوائد توقيت الوجبات في مجموعات غير سرطانية، لكنه غير كافٍ لإثبات أن الصيام يعالج السرطان أو يطيل البقاء. يجب الفصل بين البحث الواعد والممارسة السريرية المثبتة.</w:t>
      </w:r>
    </w:p>
    <w:p>
      <w:pPr>
        <w:spacing w:before="240" w:after="120"/>
        <w:jc w:val="right"/>
        <w:bidi w:val="1"/>
        <w:pBdr>
          <w:bottom w:val="single" w:sz="10" w:space="3" w:color="17365D"/>
        </w:pBdr>
      </w:pPr>
      <w:r>
        <w:rPr>
          <w:rFonts w:ascii="Noto Sans Arabic" w:hAnsi="Noto Sans Arabic"/>
          <w:b/>
          <w:color w:val="17365D"/>
          <w:sz w:val="32"/>
          <w:rtl w:val="1"/>
        </w:rPr>
        <w:t>المراجع الأساسية</w:t>
      </w:r>
    </w:p>
    <w:p>
      <w:pPr>
        <w:spacing w:after="100"/>
        <w:jc w:val="right"/>
        <w:bidi w:val="1"/>
      </w:pPr>
      <w:r>
        <w:rPr>
          <w:rFonts w:ascii="Noto Sans Arabic" w:hAnsi="Noto Sans Arabic"/>
          <w:sz w:val="17"/>
          <w:rtl w:val="1"/>
        </w:rPr>
        <w:t xml:space="preserve">1. Nobel Prize Outreach. Press release: Yoshinori Ohsumi and mechanisms for autophagy. 3 October 2016. </w:t>
      </w:r>
      <w:hyperlink r:id="rId11">
        <w:r>
          <w:rPr>
            <w:color w:val="2F75B5"/>
            <w:u w:val="single"/>
            <w:rtl w:val="1"/>
          </w:rPr>
          <w:t>الرابط الرسمي</w:t>
        </w:r>
      </w:hyperlink>
    </w:p>
    <w:p>
      <w:pPr>
        <w:spacing w:after="100"/>
        <w:jc w:val="right"/>
        <w:bidi w:val="1"/>
      </w:pPr>
      <w:r>
        <w:rPr>
          <w:rFonts w:ascii="Noto Sans Arabic" w:hAnsi="Noto Sans Arabic"/>
          <w:sz w:val="17"/>
          <w:rtl w:val="1"/>
        </w:rPr>
        <w:t xml:space="preserve">2. Muscaritoli M, Arends J, Bachmann P, et al. ESPEN practical guideline: Clinical Nutrition in Cancer. Clinical Nutrition. 2021;40:2898–2913. </w:t>
      </w:r>
      <w:hyperlink r:id="rId12">
        <w:r>
          <w:rPr>
            <w:color w:val="2F75B5"/>
            <w:u w:val="single"/>
            <w:rtl w:val="1"/>
          </w:rPr>
          <w:t>الرابط الرسمي</w:t>
        </w:r>
      </w:hyperlink>
    </w:p>
    <w:p>
      <w:pPr>
        <w:spacing w:after="100"/>
        <w:jc w:val="right"/>
        <w:bidi w:val="1"/>
      </w:pPr>
      <w:r>
        <w:rPr>
          <w:rFonts w:ascii="Noto Sans Arabic" w:hAnsi="Noto Sans Arabic"/>
          <w:sz w:val="17"/>
          <w:rtl w:val="1"/>
        </w:rPr>
        <w:t xml:space="preserve">3. de Groot S, et al. Short-term fasting and chemotherapy tolerance in HER2-negative breast cancer: randomized pilot study. BMC Cancer. 2015;15:652. </w:t>
      </w:r>
      <w:hyperlink r:id="rId13">
        <w:r>
          <w:rPr>
            <w:color w:val="2F75B5"/>
            <w:u w:val="single"/>
            <w:rtl w:val="1"/>
          </w:rPr>
          <w:t>الرابط الرسمي</w:t>
        </w:r>
      </w:hyperlink>
    </w:p>
    <w:p>
      <w:pPr>
        <w:spacing w:after="100"/>
        <w:jc w:val="right"/>
        <w:bidi w:val="1"/>
      </w:pPr>
      <w:r>
        <w:rPr>
          <w:rFonts w:ascii="Noto Sans Arabic" w:hAnsi="Noto Sans Arabic"/>
          <w:sz w:val="17"/>
          <w:rtl w:val="1"/>
        </w:rPr>
        <w:t xml:space="preserve">4. Safdie FM, et al. Fasting and cancer treatment in humans: a case series report. Aging. 2009;1:988–1007. </w:t>
      </w:r>
      <w:hyperlink r:id="rId14">
        <w:r>
          <w:rPr>
            <w:color w:val="2F75B5"/>
            <w:u w:val="single"/>
            <w:rtl w:val="1"/>
          </w:rPr>
          <w:t>الرابط الرسمي</w:t>
        </w:r>
      </w:hyperlink>
    </w:p>
    <w:p>
      <w:pPr>
        <w:spacing w:after="100"/>
        <w:jc w:val="right"/>
        <w:bidi w:val="1"/>
      </w:pPr>
      <w:r>
        <w:rPr>
          <w:rFonts w:ascii="Noto Sans Arabic" w:hAnsi="Noto Sans Arabic"/>
          <w:sz w:val="17"/>
          <w:rtl w:val="1"/>
        </w:rPr>
        <w:t xml:space="preserve">5. Di Tano M, et al. Fasting-mimicking diet and vitamin C against KRAS-mutated cancers. Nature Communications. 2020;11:2332. </w:t>
      </w:r>
      <w:hyperlink r:id="rId15">
        <w:r>
          <w:rPr>
            <w:color w:val="2F75B5"/>
            <w:u w:val="single"/>
            <w:rtl w:val="1"/>
          </w:rPr>
          <w:t>الرابط الرسمي</w:t>
        </w:r>
      </w:hyperlink>
    </w:p>
    <w:p>
      <w:pPr>
        <w:spacing w:after="100"/>
        <w:jc w:val="right"/>
        <w:bidi w:val="1"/>
      </w:pPr>
      <w:r>
        <w:rPr>
          <w:rFonts w:ascii="Noto Sans Arabic" w:hAnsi="Noto Sans Arabic"/>
          <w:sz w:val="17"/>
          <w:rtl w:val="1"/>
        </w:rPr>
        <w:t xml:space="preserve">6. Pavlou V, et al. Effect of Time-Restricted Eating on Weight Loss in Adults With Type 2 Diabetes: A Randomized Clinical Trial. JAMA Network Open. 2023. </w:t>
      </w:r>
      <w:hyperlink r:id="rId16">
        <w:r>
          <w:rPr>
            <w:color w:val="2F75B5"/>
            <w:u w:val="single"/>
            <w:rtl w:val="1"/>
          </w:rPr>
          <w:t>الرابط الرسمي</w:t>
        </w:r>
      </w:hyperlink>
    </w:p>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olor w:val="6B7280"/>
        <w:sz w:val="16"/>
        <w:rtl w:val="1"/>
      </w:rPr>
      <w:t xml:space="preserve">إعداد رسمي لصالح Ahmed Labib  |  2 يوليو 2026  |  صفحة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b/>
        <w:color w:val="2F75B5"/>
        <w:sz w:val="18"/>
        <w:rtl w:val="1"/>
      </w:rPr>
      <w:t>مراجعة علمية للصيام والأوتوفاجي والسرطان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obelprize.org/prizes/medicine/2016/press-release/" TargetMode="External"/><Relationship Id="rId12" Type="http://schemas.openxmlformats.org/officeDocument/2006/relationships/hyperlink" Target="https://www.espen.org/files/ESPEN-Guidelines/ESPEN-practical-guideline-clinical-nutrition-in-cancer.pdf" TargetMode="External"/><Relationship Id="rId13" Type="http://schemas.openxmlformats.org/officeDocument/2006/relationships/hyperlink" Target="https://bmccancer.biomedcentral.com/articles/10.1186/s12885-015-1663-5" TargetMode="External"/><Relationship Id="rId14" Type="http://schemas.openxmlformats.org/officeDocument/2006/relationships/hyperlink" Target="https://www.aging-us.com/article/100114/text" TargetMode="External"/><Relationship Id="rId15" Type="http://schemas.openxmlformats.org/officeDocument/2006/relationships/hyperlink" Target="https://www.nature.com/articles/s41467-020-16243-3" TargetMode="External"/><Relationship Id="rId16" Type="http://schemas.openxmlformats.org/officeDocument/2006/relationships/hyperlink" Target="https://jamanetwork.com/journals/jamanetworkopen/fullarticle/2811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مراجعة علمية للصيام والأوتوفاجي والسرطان</dc:title>
  <dc:subject/>
  <dc:creator>Ahmed Labib</dc:creator>
  <cp:keywords/>
  <dc:description>generated by python-docx</dc:description>
  <cp:lastModifiedBy/>
  <cp:revision>1</cp:revision>
  <dcterms:created xsi:type="dcterms:W3CDTF">2013-12-23T23:15:00Z</dcterms:created>
  <dcterms:modified xsi:type="dcterms:W3CDTF">2013-12-23T23:15:00Z</dcterms:modified>
  <cp:category/>
</cp:coreProperties>
</file>