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7030A0"/>
            <w:tcBorders>
              <w:top w:val="single" w:sz="0" w:color="7030A0"/>
              <w:left w:val="single" w:sz="0" w:color="7030A0"/>
              <w:bottom w:val="single" w:sz="0" w:color="7030A0"/>
              <w:right w:val="single" w:sz="0" w:color="7030A0"/>
              <w:insideH w:val="single" w:sz="0" w:color="7030A0"/>
              <w:insideV w:val="single" w:sz="0" w:color="7030A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Noto Sans Arabic" w:hAnsi="Noto Sans Arabic"/>
                <w:b/>
                <w:color w:val="FFFFFF"/>
                <w:sz w:val="46"/>
                <w:rtl w:val="1"/>
              </w:rPr>
              <w:t>التفرقة بين الأدلة العلمية والادعاءات المنتشرة</w:t>
            </w:r>
          </w:p>
        </w:tc>
      </w:tr>
    </w:tbl>
    <w:p>
      <w:pPr>
        <w:jc w:val="center"/>
      </w:pPr>
      <w:r>
        <w:rPr>
          <w:rFonts w:ascii="Noto Sans Arabic" w:hAnsi="Noto Sans Arabic"/>
          <w:color w:val="243447"/>
          <w:sz w:val="26"/>
          <w:rtl w:val="1"/>
        </w:rPr>
        <w:t>دليل عملي لتقييم العبارات الشائعة عن الصيام والأوتوفاجي والسرطان</w:t>
      </w:r>
    </w:p>
    <w:p>
      <w:pPr>
        <w:jc w:val="center"/>
      </w:pPr>
      <w:r>
        <w:rPr>
          <w:rFonts w:ascii="Noto Sans Arabic" w:hAnsi="Noto Sans Arabic"/>
          <w:color w:val="6B7280"/>
          <w:sz w:val="18"/>
          <w:rtl w:val="1"/>
        </w:rPr>
        <w:t>إعداد: Ahmed Labib  |  تاريخ الإصدار: 2 يوليو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C0392B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21"/>
                <w:rtl w:val="1"/>
              </w:rPr>
              <w:t>تنبيه مهم</w:t>
            </w:r>
          </w:p>
        </w:tc>
      </w:tr>
      <w:tr>
        <w:tc>
          <w:tcPr>
            <w:tcW w:type="dxa" w:w="10310"/>
            <w:shd w:fill="FDEDE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9"/>
                <w:rtl w:val="1"/>
              </w:rPr>
              <w:t>الادعاء المنتشر لا يصبح حقيقة بسبب كثرة تكراره. القرارات الطبية تعتمد على نوع الدراسة وجودتها وملاءمتها للمريض.</w:t>
            </w:r>
          </w:p>
        </w:tc>
      </w:tr>
    </w:tbl>
    <w:p>
      <w:pPr>
        <w:spacing w:after="0"/>
      </w:pP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كيف نقيّم أي ادعاء؟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اسأل: هل الدليل من خلايا، حيوانات، دراسة بشرية صغيرة، أم تجربة عشوائية كبيرة؟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تحقق من النتيجة المقاسة: مؤشر مخبري أم تحسن أعراض أم بقاء على قيد الحياة؟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راجع الفئة: بالغ سليم أم مريض سرطان أثناء علاج؟ لا يجوز نقل النتيجة بينهما مباشرة.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تحقق من وجود مجموعة مقارنة، عدد المشاركين، مدة المتابعة، والمخاطر المسجلة.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ابحث عن توصية من جهة مهنية مستقلة بدل الاعتماد على قصة شخصية أو مقطع قصير.</w:t>
      </w: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جدول الادعاءات والحكم العلمي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7030A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الادعاء</w:t>
            </w:r>
          </w:p>
        </w:tc>
        <w:tc>
          <w:tcPr>
            <w:tcW w:type="dxa" w:w="3437"/>
            <w:shd w:fill="7030A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التقييم</w:t>
            </w:r>
          </w:p>
        </w:tc>
        <w:tc>
          <w:tcPr>
            <w:tcW w:type="dxa" w:w="3437"/>
            <w:shd w:fill="7030A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التفسير الدقيق</w:t>
            </w:r>
          </w:p>
        </w:tc>
      </w:tr>
      <w:tr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«أوسومي أثبت أن الصيام يشفي السرطان»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خاطئ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اكتشف آليات الالتهام الذاتي في الخميرة؛ لم يثبت علاجًا بالصيام.</w:t>
            </w:r>
          </w:p>
        </w:tc>
      </w:tr>
      <w:tr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«الأوتوفاجي تبدأ بالضبط بعد 16 ساعة»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غير مثبت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العملية موجودة بدرجات مختلفة وتتغير حسب النسيج والشخص والحالة الأيضية.</w:t>
            </w:r>
          </w:p>
        </w:tc>
      </w:tr>
      <w:tr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«كلما طال الصيام زادت الفائدة»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خاطئ وقد يكون خطرًا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المخاطر ترتفع مع المدة، ولا توجد علاقة خطية مؤكدة بين الطول والفائدة.</w:t>
            </w:r>
          </w:p>
        </w:tc>
      </w:tr>
      <w:tr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«السرطان يعيش على السكر فقط، ومنع الطعام يجوّعه»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مضلل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يحافظ الجسم على الجلوكوز وتستخدم الأورام وقودًا متعددًا؛ وقد يتضرر المريض أولًا.</w:t>
            </w:r>
          </w:p>
        </w:tc>
      </w:tr>
      <w:tr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«الصيام حول الكيماوي يحمي الخلايا السليمة»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تجريبي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الدراسات صغيرة ولا تكفي لتوصية روتينية.</w:t>
            </w:r>
          </w:p>
        </w:tc>
      </w:tr>
      <w:tr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«النظام المحاكي للصيام علاج مثبت للسرطان»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غير مثبت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ما زال استراتيجية بحثية ولا يستبدل العلاج القياسي.</w:t>
            </w:r>
          </w:p>
        </w:tc>
      </w:tr>
      <w:tr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«الماء والقهوة السوداء لا تؤثران أبدًا»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يعتمد على الحالة</w:t>
            </w:r>
          </w:p>
        </w:tc>
        <w:tc>
          <w:tcPr>
            <w:tcW w:type="dxa" w:w="3437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قد تكون القهوة غير مناسبة لبعض المرضى أو الأدوية، وتظل السوائل والأملاح مسألة طبية.</w:t>
            </w:r>
          </w:p>
        </w:tc>
      </w:tr>
      <w:tr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«فقدان الوزن أثناء العلاج علامة نجاح للصيام»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خطر</w:t>
            </w:r>
          </w:p>
        </w:tc>
        <w:tc>
          <w:tcPr>
            <w:tcW w:type="dxa" w:w="3437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7"/>
                <w:rtl w:val="1"/>
              </w:rPr>
              <w:t>قد يدل على سوء تغذية أو فقد عضلات ويستلزم تقييمًا سريعًا.</w:t>
            </w:r>
          </w:p>
        </w:tc>
      </w:tr>
    </w:tbl>
    <w:p>
      <w:pPr>
        <w:spacing w:after="0"/>
      </w:pP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إشارات تحذير في المحتوى غير الموثوق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وعود بالشفاء أو «تنظيف السموم» دون تعريف علمي أو قياس سريري.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استخدام جائزة نوبل كدعاية لمنتج أو جدول صيام لم يختبر في التجربة الأصلية.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الاعتماد على قبل/بعد أو قصة فردية فقط.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إخفاء المخاطر أو وصف كل الأطباء بأنهم ضد العلاج الطبيعي.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طلب إيقاف الدواء أو العلاج القياسي، أو بيع مكمل باهظ باعتباره ضروريًا.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BF9000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21"/>
                <w:rtl w:val="1"/>
              </w:rPr>
              <w:t>قاعدة عملية</w:t>
            </w:r>
          </w:p>
        </w:tc>
      </w:tr>
      <w:tr>
        <w:tc>
          <w:tcPr>
            <w:tcW w:type="dxa" w:w="10310"/>
            <w:shd w:fill="FFF2C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9"/>
                <w:rtl w:val="1"/>
              </w:rPr>
              <w:t>كلما كان الادعاء أكبر — مثل شفاء السرطان — احتاج إلى دليل أقوى: تجارب بشرية جيدة، نتائج مهمة للمريض، تكرار مستقل، ومراجعة إرشادية. الدراسات المختبرية وحدها لا تكفي.</w:t>
            </w:r>
          </w:p>
        </w:tc>
      </w:tr>
    </w:tbl>
    <w:p>
      <w:pPr>
        <w:spacing w:after="0"/>
      </w:pP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المراجع الأساسية</w:t>
      </w:r>
    </w:p>
    <w:p>
      <w:pPr>
        <w:spacing w:after="100"/>
        <w:jc w:val="right"/>
        <w:bidi w:val="1"/>
      </w:pPr>
      <w:r>
        <w:rPr>
          <w:rFonts w:ascii="Noto Sans Arabic" w:hAnsi="Noto Sans Arabic"/>
          <w:sz w:val="17"/>
          <w:rtl w:val="1"/>
        </w:rPr>
        <w:t xml:space="preserve">1. Nobel Prize Outreach. The Nobel Prize in Physiology or Medicine 2016 — Summary. </w:t>
      </w:r>
      <w:hyperlink r:id="rId11">
        <w:r>
          <w:rPr>
            <w:color w:val="2F75B5"/>
            <w:u w:val="single"/>
            <w:rtl w:val="1"/>
          </w:rPr>
          <w:t>الرابط الرسمي</w:t>
        </w:r>
      </w:hyperlink>
    </w:p>
    <w:p>
      <w:pPr>
        <w:spacing w:after="100"/>
        <w:jc w:val="right"/>
        <w:bidi w:val="1"/>
      </w:pPr>
      <w:r>
        <w:rPr>
          <w:rFonts w:ascii="Noto Sans Arabic" w:hAnsi="Noto Sans Arabic"/>
          <w:sz w:val="17"/>
          <w:rtl w:val="1"/>
        </w:rPr>
        <w:t xml:space="preserve">2. Nobel Prize Outreach. Press release: Yoshinori Ohsumi and mechanisms for autophagy. 3 October 2016. </w:t>
      </w:r>
      <w:hyperlink r:id="rId12">
        <w:r>
          <w:rPr>
            <w:color w:val="2F75B5"/>
            <w:u w:val="single"/>
            <w:rtl w:val="1"/>
          </w:rPr>
          <w:t>الرابط الرسمي</w:t>
        </w:r>
      </w:hyperlink>
    </w:p>
    <w:p>
      <w:pPr>
        <w:spacing w:after="100"/>
        <w:jc w:val="right"/>
        <w:bidi w:val="1"/>
      </w:pPr>
      <w:r>
        <w:rPr>
          <w:rFonts w:ascii="Noto Sans Arabic" w:hAnsi="Noto Sans Arabic"/>
          <w:sz w:val="17"/>
          <w:rtl w:val="1"/>
        </w:rPr>
        <w:t xml:space="preserve">3. Muscaritoli M, Arends J, Bachmann P, et al. ESPEN practical guideline: Clinical Nutrition in Cancer. Clinical Nutrition. 2021;40:2898–2913. </w:t>
      </w:r>
      <w:hyperlink r:id="rId13">
        <w:r>
          <w:rPr>
            <w:color w:val="2F75B5"/>
            <w:u w:val="single"/>
            <w:rtl w:val="1"/>
          </w:rPr>
          <w:t>الرابط الرسمي</w:t>
        </w:r>
      </w:hyperlink>
    </w:p>
    <w:p>
      <w:pPr>
        <w:spacing w:after="100"/>
        <w:jc w:val="right"/>
        <w:bidi w:val="1"/>
      </w:pPr>
      <w:r>
        <w:rPr>
          <w:rFonts w:ascii="Noto Sans Arabic" w:hAnsi="Noto Sans Arabic"/>
          <w:sz w:val="17"/>
          <w:rtl w:val="1"/>
        </w:rPr>
        <w:t xml:space="preserve">4. de Groot S, et al. Short-term fasting and chemotherapy tolerance in HER2-negative breast cancer: randomized pilot study. BMC Cancer. 2015;15:652. </w:t>
      </w:r>
      <w:hyperlink r:id="rId14">
        <w:r>
          <w:rPr>
            <w:color w:val="2F75B5"/>
            <w:u w:val="single"/>
            <w:rtl w:val="1"/>
          </w:rPr>
          <w:t>الرابط الرسمي</w:t>
        </w:r>
      </w:hyperlink>
    </w:p>
    <w:p>
      <w:pPr>
        <w:spacing w:after="100"/>
        <w:jc w:val="right"/>
        <w:bidi w:val="1"/>
      </w:pPr>
      <w:r>
        <w:rPr>
          <w:rFonts w:ascii="Noto Sans Arabic" w:hAnsi="Noto Sans Arabic"/>
          <w:sz w:val="17"/>
          <w:rtl w:val="1"/>
        </w:rPr>
        <w:t xml:space="preserve">5. Safdie FM, et al. Fasting and cancer treatment in humans: a case series report. Aging. 2009;1:988–1007. </w:t>
      </w:r>
      <w:hyperlink r:id="rId15">
        <w:r>
          <w:rPr>
            <w:color w:val="2F75B5"/>
            <w:u w:val="single"/>
            <w:rtl w:val="1"/>
          </w:rPr>
          <w:t>الرابط الرسمي</w:t>
        </w:r>
      </w:hyperlink>
    </w:p>
    <w:p>
      <w:pPr>
        <w:spacing w:after="100"/>
        <w:jc w:val="right"/>
        <w:bidi w:val="1"/>
      </w:pPr>
      <w:r>
        <w:rPr>
          <w:rFonts w:ascii="Noto Sans Arabic" w:hAnsi="Noto Sans Arabic"/>
          <w:sz w:val="17"/>
          <w:rtl w:val="1"/>
        </w:rPr>
        <w:t xml:space="preserve">6. Di Tano M, et al. Fasting-mimicking diet and vitamin C against KRAS-mutated cancers. Nature Communications. 2020;11:2332. </w:t>
      </w:r>
      <w:hyperlink r:id="rId16">
        <w:r>
          <w:rPr>
            <w:color w:val="2F75B5"/>
            <w:u w:val="single"/>
            <w:rtl w:val="1"/>
          </w:rPr>
          <w:t>الرابط الرسمي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65" w:bottom="89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/>
        <w:color w:val="6B7280"/>
        <w:sz w:val="16"/>
        <w:rtl w:val="1"/>
      </w:rPr>
      <w:t xml:space="preserve">إعداد رسمي لصالح Ahmed Labib  |  2 يوليو 2026  |  صفحة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/>
        <w:b/>
        <w:color w:val="7030A0"/>
        <w:sz w:val="18"/>
        <w:rtl w:val="1"/>
      </w:rPr>
      <w:t>التفرقة بين الأدلة العلمية والادعاءات المنتشرة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obelprize.org/prizes/medicine/2016/summary/" TargetMode="External"/><Relationship Id="rId12" Type="http://schemas.openxmlformats.org/officeDocument/2006/relationships/hyperlink" Target="https://www.nobelprize.org/prizes/medicine/2016/press-release/" TargetMode="External"/><Relationship Id="rId13" Type="http://schemas.openxmlformats.org/officeDocument/2006/relationships/hyperlink" Target="https://www.espen.org/files/ESPEN-Guidelines/ESPEN-practical-guideline-clinical-nutrition-in-cancer.pdf" TargetMode="External"/><Relationship Id="rId14" Type="http://schemas.openxmlformats.org/officeDocument/2006/relationships/hyperlink" Target="https://bmccancer.biomedcentral.com/articles/10.1186/s12885-015-1663-5" TargetMode="External"/><Relationship Id="rId15" Type="http://schemas.openxmlformats.org/officeDocument/2006/relationships/hyperlink" Target="https://www.aging-us.com/article/100114/text" TargetMode="External"/><Relationship Id="rId16" Type="http://schemas.openxmlformats.org/officeDocument/2006/relationships/hyperlink" Target="https://www.nature.com/articles/s41467-020-16243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التفرقة بين الأدلة العلمية والادعاءات المنتشرة</dc:title>
  <dc:subject/>
  <dc:creator>Ahmed Labib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