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shd w:fill="548235"/>
            <w:tcBorders>
              <w:top w:val="single" w:sz="0" w:color="548235"/>
              <w:left w:val="single" w:sz="0" w:color="548235"/>
              <w:bottom w:val="single" w:sz="0" w:color="548235"/>
              <w:right w:val="single" w:sz="0" w:color="548235"/>
              <w:insideH w:val="single" w:sz="0" w:color="548235"/>
              <w:insideV w:val="single" w:sz="0" w:color="548235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400" w:after="400"/>
              <w:jc w:val="center"/>
            </w:pPr>
            <w:r>
              <w:rPr>
                <w:rFonts w:ascii="Noto Sans Arabic" w:hAnsi="Noto Sans Arabic"/>
                <w:b/>
                <w:color w:val="FFFFFF"/>
                <w:sz w:val="46"/>
                <w:rtl w:val="1"/>
              </w:rPr>
              <w:t>مسار 100 يوم للمتعافي المستقر بعد العلاج</w:t>
            </w:r>
          </w:p>
        </w:tc>
      </w:tr>
    </w:tbl>
    <w:p>
      <w:pPr>
        <w:jc w:val="center"/>
      </w:pPr>
      <w:r>
        <w:rPr>
          <w:rFonts w:ascii="Noto Sans Arabic" w:hAnsi="Noto Sans Arabic"/>
          <w:color w:val="243447"/>
          <w:sz w:val="26"/>
          <w:rtl w:val="1"/>
        </w:rPr>
        <w:t>تدرّج محدود لتوقيت الوجبات بعد موافقة الطبيب — للصحة العامة وليس لعلاج السرطان</w:t>
      </w:r>
    </w:p>
    <w:p>
      <w:pPr>
        <w:jc w:val="center"/>
      </w:pPr>
      <w:r>
        <w:rPr>
          <w:rFonts w:ascii="Noto Sans Arabic" w:hAnsi="Noto Sans Arabic"/>
          <w:color w:val="6B7280"/>
          <w:sz w:val="18"/>
          <w:rtl w:val="1"/>
        </w:rPr>
        <w:t>إعداد: Ahmed Labib  |  تاريخ الإصدار: 2 يوليو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shd w:fill="C0392B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center"/>
              <w:bidi w:val="1"/>
            </w:pPr>
            <w:r/>
            <w:r>
              <w:rPr>
                <w:rFonts w:ascii="Noto Sans Arabic" w:hAnsi="Noto Sans Arabic"/>
                <w:b/>
                <w:color w:val="FFFFFF"/>
                <w:sz w:val="21"/>
                <w:rtl w:val="1"/>
              </w:rPr>
              <w:t>تنبيه مهم</w:t>
            </w:r>
          </w:p>
        </w:tc>
      </w:tr>
      <w:tr>
        <w:tc>
          <w:tcPr>
            <w:tcW w:type="dxa" w:w="10310"/>
            <w:shd w:fill="FDEDE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9"/>
                <w:rtl w:val="1"/>
              </w:rPr>
              <w:t>يطبق فقط عند الاستقرار الطبي، وعدم وجود سوء تغذية أو فقد وزن، وبعد مراجعة الأدوية. لا يهدف إلى منع عودة السرطان أو علاجه، ولا يشمل الصيام الطويل.</w:t>
            </w:r>
          </w:p>
        </w:tc>
      </w:tr>
    </w:tbl>
    <w:p>
      <w:pPr>
        <w:spacing w:after="0"/>
      </w:pPr>
    </w:p>
    <w:p>
      <w:pPr>
        <w:spacing w:before="240" w:after="120"/>
        <w:jc w:val="right"/>
        <w:bidi w:val="1"/>
        <w:pBdr>
          <w:bottom w:val="single" w:sz="10" w:space="3" w:color="17365D"/>
        </w:pBdr>
      </w:pPr>
      <w:r>
        <w:rPr>
          <w:rFonts w:ascii="Noto Sans Arabic" w:hAnsi="Noto Sans Arabic"/>
          <w:b/>
          <w:color w:val="17365D"/>
          <w:sz w:val="32"/>
          <w:rtl w:val="1"/>
        </w:rPr>
        <w:t>شروط البدء</w:t>
      </w:r>
    </w:p>
    <w:p>
      <w:pPr>
        <w:spacing w:after="80" w:line="276" w:lineRule="auto"/>
        <w:ind w:right="173" w:left="72"/>
        <w:jc w:val="right"/>
        <w:bidi w:val="1"/>
      </w:pPr>
      <w:r>
        <w:rPr>
          <w:rFonts w:ascii="Noto Sans Arabic" w:hAnsi="Noto Sans Arabic"/>
          <w:color w:val="243447"/>
          <w:sz w:val="20"/>
          <w:rtl w:val="1"/>
        </w:rPr>
        <w:t>•  انتهاء العلاج النشط أو موافقة فريق الأورام على التجربة أثناء مرحلة مستقرة.</w:t>
      </w:r>
    </w:p>
    <w:p>
      <w:pPr>
        <w:spacing w:after="80" w:line="276" w:lineRule="auto"/>
        <w:ind w:right="173" w:left="72"/>
        <w:jc w:val="right"/>
        <w:bidi w:val="1"/>
      </w:pPr>
      <w:r>
        <w:rPr>
          <w:rFonts w:ascii="Noto Sans Arabic" w:hAnsi="Noto Sans Arabic"/>
          <w:color w:val="243447"/>
          <w:sz w:val="20"/>
          <w:rtl w:val="1"/>
        </w:rPr>
        <w:t>•  وزن ثابت ومدخول كافٍ وعدم وجود هزال أو ضعف متزايد.</w:t>
      </w:r>
    </w:p>
    <w:p>
      <w:pPr>
        <w:spacing w:after="80" w:line="276" w:lineRule="auto"/>
        <w:ind w:right="173" w:left="72"/>
        <w:jc w:val="right"/>
        <w:bidi w:val="1"/>
      </w:pPr>
      <w:r>
        <w:rPr>
          <w:rFonts w:ascii="Noto Sans Arabic" w:hAnsi="Noto Sans Arabic"/>
          <w:color w:val="243447"/>
          <w:sz w:val="20"/>
          <w:rtl w:val="1"/>
        </w:rPr>
        <w:t>•  عدم وجود سكري أو أدوية قد تسبب هبوط السكر إلا بخطة طبية محددة.</w:t>
      </w:r>
    </w:p>
    <w:p>
      <w:pPr>
        <w:spacing w:after="80" w:line="276" w:lineRule="auto"/>
        <w:ind w:right="173" w:left="72"/>
        <w:jc w:val="right"/>
        <w:bidi w:val="1"/>
      </w:pPr>
      <w:r>
        <w:rPr>
          <w:rFonts w:ascii="Noto Sans Arabic" w:hAnsi="Noto Sans Arabic"/>
          <w:color w:val="243447"/>
          <w:sz w:val="20"/>
          <w:rtl w:val="1"/>
        </w:rPr>
        <w:t>•  عدم وجود مرض كلوي/كبدي غير مستقر، اضطراب أكل، حمل أو رضاعة، أو تاريخ إغماء مع الصيام.</w:t>
      </w:r>
    </w:p>
    <w:p>
      <w:pPr>
        <w:spacing w:after="80" w:line="276" w:lineRule="auto"/>
        <w:ind w:right="173" w:left="72"/>
        <w:jc w:val="right"/>
        <w:bidi w:val="1"/>
      </w:pPr>
      <w:r>
        <w:rPr>
          <w:rFonts w:ascii="Noto Sans Arabic" w:hAnsi="Noto Sans Arabic"/>
          <w:color w:val="243447"/>
          <w:sz w:val="20"/>
          <w:rtl w:val="1"/>
        </w:rPr>
        <w:t>•  تحديد نافذة أكل تناسب الدواء والنوم والنشاط والحياة الاجتماعية.</w:t>
      </w:r>
    </w:p>
    <w:p>
      <w:pPr>
        <w:spacing w:before="240" w:after="120"/>
        <w:jc w:val="right"/>
        <w:bidi w:val="1"/>
        <w:pBdr>
          <w:bottom w:val="single" w:sz="10" w:space="3" w:color="17365D"/>
        </w:pBdr>
      </w:pPr>
      <w:r>
        <w:rPr>
          <w:rFonts w:ascii="Noto Sans Arabic" w:hAnsi="Noto Sans Arabic"/>
          <w:b/>
          <w:color w:val="17365D"/>
          <w:sz w:val="32"/>
          <w:rtl w:val="1"/>
        </w:rPr>
        <w:t>الخطة التدريجية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2062"/>
            <w:shd w:fill="5482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center"/>
              <w:bidi w:val="1"/>
            </w:pPr>
            <w:r/>
            <w:r>
              <w:rPr>
                <w:rFonts w:ascii="Noto Sans Arabic" w:hAnsi="Noto Sans Arabic"/>
                <w:b/>
                <w:color w:val="FFFFFF"/>
                <w:sz w:val="18"/>
                <w:rtl w:val="1"/>
              </w:rPr>
              <w:t>الأيام</w:t>
            </w:r>
          </w:p>
        </w:tc>
        <w:tc>
          <w:tcPr>
            <w:tcW w:type="dxa" w:w="2062"/>
            <w:shd w:fill="5482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center"/>
              <w:bidi w:val="1"/>
            </w:pPr>
            <w:r/>
            <w:r>
              <w:rPr>
                <w:rFonts w:ascii="Noto Sans Arabic" w:hAnsi="Noto Sans Arabic"/>
                <w:b/>
                <w:color w:val="FFFFFF"/>
                <w:sz w:val="18"/>
                <w:rtl w:val="1"/>
              </w:rPr>
              <w:t>نمط النافذة</w:t>
            </w:r>
          </w:p>
        </w:tc>
        <w:tc>
          <w:tcPr>
            <w:tcW w:type="dxa" w:w="2062"/>
            <w:shd w:fill="5482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center"/>
              <w:bidi w:val="1"/>
            </w:pPr>
            <w:r/>
            <w:r>
              <w:rPr>
                <w:rFonts w:ascii="Noto Sans Arabic" w:hAnsi="Noto Sans Arabic"/>
                <w:b/>
                <w:color w:val="FFFFFF"/>
                <w:sz w:val="18"/>
                <w:rtl w:val="1"/>
              </w:rPr>
              <w:t>التكرار</w:t>
            </w:r>
          </w:p>
        </w:tc>
        <w:tc>
          <w:tcPr>
            <w:tcW w:type="dxa" w:w="2062"/>
            <w:shd w:fill="5482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center"/>
              <w:bidi w:val="1"/>
            </w:pPr>
            <w:r/>
            <w:r>
              <w:rPr>
                <w:rFonts w:ascii="Noto Sans Arabic" w:hAnsi="Noto Sans Arabic"/>
                <w:b/>
                <w:color w:val="FFFFFF"/>
                <w:sz w:val="18"/>
                <w:rtl w:val="1"/>
              </w:rPr>
              <w:t>أولوية التغذية</w:t>
            </w:r>
          </w:p>
        </w:tc>
        <w:tc>
          <w:tcPr>
            <w:tcW w:type="dxa" w:w="2062"/>
            <w:shd w:fill="548235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center"/>
              <w:bidi w:val="1"/>
            </w:pPr>
            <w:r/>
            <w:r>
              <w:rPr>
                <w:rFonts w:ascii="Noto Sans Arabic" w:hAnsi="Noto Sans Arabic"/>
                <w:b/>
                <w:color w:val="FFFFFF"/>
                <w:sz w:val="18"/>
                <w:rtl w:val="1"/>
              </w:rPr>
              <w:t>شرط التقدم</w:t>
            </w:r>
          </w:p>
        </w:tc>
      </w:tr>
      <w:tr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1–10</w:t>
            </w:r>
          </w:p>
        </w:tc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12:12</w:t>
            </w:r>
          </w:p>
        </w:tc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يوميًا</w:t>
            </w:r>
          </w:p>
        </w:tc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وجبات متوازنة بلا هدف لتقليل السعرات</w:t>
            </w:r>
          </w:p>
        </w:tc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الوزن والطاقة والمدخول ثابتة</w:t>
            </w:r>
          </w:p>
        </w:tc>
      </w:tr>
      <w:tr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11–20</w:t>
            </w:r>
          </w:p>
        </w:tc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12:12</w:t>
            </w:r>
          </w:p>
        </w:tc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يوميًا</w:t>
            </w:r>
          </w:p>
        </w:tc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عشاء أبكر وتجنب الأكل الليلي</w:t>
            </w:r>
          </w:p>
        </w:tc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لا دوخة أو ضعف أو تعارض دوائي</w:t>
            </w:r>
          </w:p>
        </w:tc>
      </w:tr>
      <w:tr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21–30</w:t>
            </w:r>
          </w:p>
        </w:tc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13:11</w:t>
            </w:r>
          </w:p>
        </w:tc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5 أيام و12:12 يومين</w:t>
            </w:r>
          </w:p>
        </w:tc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بروتين وخضار في الوجبات الرئيسية</w:t>
            </w:r>
          </w:p>
        </w:tc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لا فقد وزن غير مقصود</w:t>
            </w:r>
          </w:p>
        </w:tc>
      </w:tr>
      <w:tr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31–40</w:t>
            </w:r>
          </w:p>
        </w:tc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13:11</w:t>
            </w:r>
          </w:p>
        </w:tc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يوميًا إذا كان مريحًا</w:t>
            </w:r>
          </w:p>
        </w:tc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سوائل وسعرات كافية</w:t>
            </w:r>
          </w:p>
        </w:tc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العمل والنشاط طبيعيان</w:t>
            </w:r>
          </w:p>
        </w:tc>
      </w:tr>
      <w:tr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41–50</w:t>
            </w:r>
          </w:p>
        </w:tc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14:10</w:t>
            </w:r>
          </w:p>
        </w:tc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3–5 أيام أسبوعيًا</w:t>
            </w:r>
          </w:p>
        </w:tc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وجبتان أو ثلاث ووجبة خفيفة عند الحاجة</w:t>
            </w:r>
          </w:p>
        </w:tc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موافقة الفريق على التقدم</w:t>
            </w:r>
          </w:p>
        </w:tc>
      </w:tr>
      <w:tr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51–60</w:t>
            </w:r>
          </w:p>
        </w:tc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14:10</w:t>
            </w:r>
          </w:p>
        </w:tc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5 أيام مع أيام 12:12</w:t>
            </w:r>
          </w:p>
        </w:tc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عدم حذف البروتين أو المكمل الموصوف</w:t>
            </w:r>
          </w:p>
        </w:tc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اتجاه الوزن الأسبوعي ثابت</w:t>
            </w:r>
          </w:p>
        </w:tc>
      </w:tr>
      <w:tr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61–70</w:t>
            </w:r>
          </w:p>
        </w:tc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14:10</w:t>
            </w:r>
          </w:p>
        </w:tc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معظم الأيام</w:t>
            </w:r>
          </w:p>
        </w:tc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مقاومة خفيفة إذا سمح الطبيب</w:t>
            </w:r>
          </w:p>
        </w:tc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لا جوع مستمر يسبب نقص الأكل</w:t>
            </w:r>
          </w:p>
        </w:tc>
      </w:tr>
      <w:tr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71–80</w:t>
            </w:r>
          </w:p>
        </w:tc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14:10</w:t>
            </w:r>
          </w:p>
        </w:tc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يوميًا</w:t>
            </w:r>
          </w:p>
        </w:tc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جودة الطعام وإجمالي الطاقة</w:t>
            </w:r>
          </w:p>
        </w:tc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لا مشكلة أعراض أو تحاليل</w:t>
            </w:r>
          </w:p>
        </w:tc>
      </w:tr>
      <w:tr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81–90</w:t>
            </w:r>
          </w:p>
        </w:tc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15:9 اختياري</w:t>
            </w:r>
          </w:p>
        </w:tc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حد أقصى يومين أسبوعيًا</w:t>
            </w:r>
          </w:p>
        </w:tc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فقط بموافقة الطبيب</w:t>
            </w:r>
          </w:p>
        </w:tc>
        <w:tc>
          <w:tcPr>
            <w:tcW w:type="dxa" w:w="2062"/>
            <w:shd w:fill="FFFFFF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استقرار كامل بلا مخاطر علاجية</w:t>
            </w:r>
          </w:p>
        </w:tc>
      </w:tr>
      <w:tr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91–100</w:t>
            </w:r>
          </w:p>
        </w:tc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12:12 إلى 14:10</w:t>
            </w:r>
          </w:p>
        </w:tc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فردي</w:t>
            </w:r>
          </w:p>
        </w:tc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الاستدامة أهم من الشدة</w:t>
            </w:r>
          </w:p>
        </w:tc>
        <w:tc>
          <w:tcPr>
            <w:tcW w:type="dxa" w:w="2062"/>
            <w:shd w:fill="F7F9F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6"/>
                <w:rtl w:val="1"/>
              </w:rPr>
              <w:t>مراجعة طبية وغذائية مرضية</w:t>
            </w:r>
          </w:p>
        </w:tc>
      </w:tr>
    </w:tbl>
    <w:p>
      <w:pPr>
        <w:spacing w:after="0"/>
      </w:pPr>
    </w:p>
    <w:p>
      <w:pPr>
        <w:spacing w:before="240" w:after="120"/>
        <w:jc w:val="right"/>
        <w:bidi w:val="1"/>
        <w:pBdr>
          <w:bottom w:val="single" w:sz="10" w:space="3" w:color="17365D"/>
        </w:pBdr>
      </w:pPr>
      <w:r>
        <w:rPr>
          <w:rFonts w:ascii="Noto Sans Arabic" w:hAnsi="Noto Sans Arabic"/>
          <w:b/>
          <w:color w:val="17365D"/>
          <w:sz w:val="32"/>
          <w:rtl w:val="1"/>
        </w:rPr>
        <w:t>مثال يوم 14:10</w:t>
      </w:r>
    </w:p>
    <w:p>
      <w:pPr>
        <w:spacing w:after="80" w:line="276" w:lineRule="auto"/>
        <w:ind w:right="173" w:left="72"/>
        <w:jc w:val="right"/>
        <w:bidi w:val="1"/>
      </w:pPr>
      <w:r>
        <w:rPr>
          <w:rFonts w:ascii="Noto Sans Arabic" w:hAnsi="Noto Sans Arabic"/>
          <w:color w:val="243447"/>
          <w:sz w:val="20"/>
          <w:rtl w:val="1"/>
        </w:rPr>
        <w:t>•  08:30 ماء وأدوية حسب الوصفة.</w:t>
      </w:r>
    </w:p>
    <w:p>
      <w:pPr>
        <w:spacing w:after="80" w:line="276" w:lineRule="auto"/>
        <w:ind w:right="173" w:left="72"/>
        <w:jc w:val="right"/>
        <w:bidi w:val="1"/>
      </w:pPr>
      <w:r>
        <w:rPr>
          <w:rFonts w:ascii="Noto Sans Arabic" w:hAnsi="Noto Sans Arabic"/>
          <w:color w:val="243447"/>
          <w:sz w:val="20"/>
          <w:rtl w:val="1"/>
        </w:rPr>
        <w:t>•  09:00 وجبة أولى تحتوي على بروتين وكربوهيدرات معقدة وفاكهة أو خضار.</w:t>
      </w:r>
    </w:p>
    <w:p>
      <w:pPr>
        <w:spacing w:after="80" w:line="276" w:lineRule="auto"/>
        <w:ind w:right="173" w:left="72"/>
        <w:jc w:val="right"/>
        <w:bidi w:val="1"/>
      </w:pPr>
      <w:r>
        <w:rPr>
          <w:rFonts w:ascii="Noto Sans Arabic" w:hAnsi="Noto Sans Arabic"/>
          <w:color w:val="243447"/>
          <w:sz w:val="20"/>
          <w:rtl w:val="1"/>
        </w:rPr>
        <w:t>•  14:00 وجبة رئيسية متوازنة.</w:t>
      </w:r>
    </w:p>
    <w:p>
      <w:pPr>
        <w:spacing w:after="80" w:line="276" w:lineRule="auto"/>
        <w:ind w:right="173" w:left="72"/>
        <w:jc w:val="right"/>
        <w:bidi w:val="1"/>
      </w:pPr>
      <w:r>
        <w:rPr>
          <w:rFonts w:ascii="Noto Sans Arabic" w:hAnsi="Noto Sans Arabic"/>
          <w:color w:val="243447"/>
          <w:sz w:val="20"/>
          <w:rtl w:val="1"/>
        </w:rPr>
        <w:t>•  18:30 وجبة أخيرة أو وجبة خفيفة عالية البروتين عند الحاجة.</w:t>
      </w:r>
    </w:p>
    <w:p>
      <w:pPr>
        <w:spacing w:after="80" w:line="276" w:lineRule="auto"/>
        <w:ind w:right="173" w:left="72"/>
        <w:jc w:val="right"/>
        <w:bidi w:val="1"/>
      </w:pPr>
      <w:r>
        <w:rPr>
          <w:rFonts w:ascii="Noto Sans Arabic" w:hAnsi="Noto Sans Arabic"/>
          <w:color w:val="243447"/>
          <w:sz w:val="20"/>
          <w:rtl w:val="1"/>
        </w:rPr>
        <w:t>•  19:00–09:00 فترة ليلية بلا سعرات، مع ماء ومشروبات غير محلاة إذا كانت مناسبة طبيًا.</w:t>
      </w:r>
    </w:p>
    <w:p>
      <w:pPr>
        <w:spacing w:before="240" w:after="120"/>
        <w:jc w:val="right"/>
        <w:bidi w:val="1"/>
        <w:pBdr>
          <w:bottom w:val="single" w:sz="10" w:space="3" w:color="17365D"/>
        </w:pBdr>
      </w:pPr>
      <w:r>
        <w:rPr>
          <w:rFonts w:ascii="Noto Sans Arabic" w:hAnsi="Noto Sans Arabic"/>
          <w:b/>
          <w:color w:val="17365D"/>
          <w:sz w:val="32"/>
          <w:rtl w:val="1"/>
        </w:rPr>
        <w:t>قواعد الاستقرار</w:t>
      </w:r>
    </w:p>
    <w:p>
      <w:pPr>
        <w:spacing w:after="80" w:line="276" w:lineRule="auto"/>
        <w:ind w:right="173" w:left="72"/>
        <w:jc w:val="right"/>
        <w:bidi w:val="1"/>
      </w:pPr>
      <w:r>
        <w:rPr>
          <w:rFonts w:ascii="Noto Sans Arabic" w:hAnsi="Noto Sans Arabic"/>
          <w:color w:val="243447"/>
          <w:sz w:val="20"/>
          <w:rtl w:val="1"/>
        </w:rPr>
        <w:t>•  الرجوع إلى 12:12 عند التعب أو السفر أو العدوى أو ضعف الشهية.</w:t>
      </w:r>
    </w:p>
    <w:p>
      <w:pPr>
        <w:spacing w:after="80" w:line="276" w:lineRule="auto"/>
        <w:ind w:right="173" w:left="72"/>
        <w:jc w:val="right"/>
        <w:bidi w:val="1"/>
      </w:pPr>
      <w:r>
        <w:rPr>
          <w:rFonts w:ascii="Noto Sans Arabic" w:hAnsi="Noto Sans Arabic"/>
          <w:color w:val="243447"/>
          <w:sz w:val="20"/>
          <w:rtl w:val="1"/>
        </w:rPr>
        <w:t>•  لا تتجاوز 14:10 كقاعدة صيانة من دون سبب طبي وموافقة واضحة.</w:t>
      </w:r>
    </w:p>
    <w:p>
      <w:pPr>
        <w:spacing w:after="80" w:line="276" w:lineRule="auto"/>
        <w:ind w:right="173" w:left="72"/>
        <w:jc w:val="right"/>
        <w:bidi w:val="1"/>
      </w:pPr>
      <w:r>
        <w:rPr>
          <w:rFonts w:ascii="Noto Sans Arabic" w:hAnsi="Noto Sans Arabic"/>
          <w:color w:val="243447"/>
          <w:sz w:val="20"/>
          <w:rtl w:val="1"/>
        </w:rPr>
        <w:t>•  لا تستخدم نافذة الأكل لتقليل البروتين أو إجمالي الغذاء.</w:t>
      </w:r>
    </w:p>
    <w:p>
      <w:pPr>
        <w:spacing w:after="80" w:line="276" w:lineRule="auto"/>
        <w:ind w:right="173" w:left="72"/>
        <w:jc w:val="right"/>
        <w:bidi w:val="1"/>
      </w:pPr>
      <w:r>
        <w:rPr>
          <w:rFonts w:ascii="Noto Sans Arabic" w:hAnsi="Noto Sans Arabic"/>
          <w:color w:val="243447"/>
          <w:sz w:val="20"/>
          <w:rtl w:val="1"/>
        </w:rPr>
        <w:t>•  قياس الوزن أسبوعيًا وملاحظة القوة والنوم والمزاج والقدرة على النشاط.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shd w:fill="C0392B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center"/>
              <w:bidi w:val="1"/>
            </w:pPr>
            <w:r/>
            <w:r>
              <w:rPr>
                <w:rFonts w:ascii="Noto Sans Arabic" w:hAnsi="Noto Sans Arabic"/>
                <w:b/>
                <w:color w:val="FFFFFF"/>
                <w:sz w:val="21"/>
                <w:rtl w:val="1"/>
              </w:rPr>
              <w:t>غير مشمول</w:t>
            </w:r>
          </w:p>
        </w:tc>
      </w:tr>
      <w:tr>
        <w:tc>
          <w:tcPr>
            <w:tcW w:type="dxa" w:w="10310"/>
            <w:shd w:fill="FDEDEC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before="0" w:line="252" w:lineRule="auto"/>
              <w:jc w:val="right"/>
              <w:bidi w:val="1"/>
            </w:pPr>
            <w:r/>
            <w:r>
              <w:rPr>
                <w:rFonts w:ascii="Noto Sans Arabic" w:hAnsi="Noto Sans Arabic"/>
                <w:b w:val="0"/>
                <w:color w:val="243447"/>
                <w:sz w:val="19"/>
                <w:rtl w:val="1"/>
              </w:rPr>
              <w:t>الصيام 24 ساعة، الصيام المائي متعدد الأيام، الصيام الجاف، أو توقيت الصيام حول فحوص وعلاجات دون تعليمات طبية.</w:t>
            </w:r>
          </w:p>
        </w:tc>
      </w:tr>
    </w:tbl>
    <w:p>
      <w:pPr>
        <w:spacing w:after="0"/>
      </w:pPr>
    </w:p>
    <w:p>
      <w:pPr>
        <w:spacing w:before="240" w:after="120"/>
        <w:jc w:val="right"/>
        <w:bidi w:val="1"/>
        <w:pBdr>
          <w:bottom w:val="single" w:sz="10" w:space="3" w:color="17365D"/>
        </w:pBdr>
      </w:pPr>
      <w:r>
        <w:rPr>
          <w:rFonts w:ascii="Noto Sans Arabic" w:hAnsi="Noto Sans Arabic"/>
          <w:b/>
          <w:color w:val="17365D"/>
          <w:sz w:val="32"/>
          <w:rtl w:val="1"/>
        </w:rPr>
        <w:t>المراجع الأساسية</w:t>
      </w:r>
    </w:p>
    <w:p>
      <w:pPr>
        <w:spacing w:after="100"/>
        <w:jc w:val="right"/>
        <w:bidi w:val="1"/>
      </w:pPr>
      <w:r>
        <w:rPr>
          <w:rFonts w:ascii="Noto Sans Arabic" w:hAnsi="Noto Sans Arabic"/>
          <w:sz w:val="17"/>
          <w:rtl w:val="1"/>
        </w:rPr>
        <w:t xml:space="preserve">1. Muscaritoli M, Arends J, Bachmann P, et al. ESPEN practical guideline: Clinical Nutrition in Cancer. Clinical Nutrition. 2021;40:2898–2913. </w:t>
      </w:r>
      <w:hyperlink r:id="rId11">
        <w:r>
          <w:rPr>
            <w:color w:val="2F75B5"/>
            <w:u w:val="single"/>
            <w:rtl w:val="1"/>
          </w:rPr>
          <w:t>الرابط الرسمي</w:t>
        </w:r>
      </w:hyperlink>
    </w:p>
    <w:p>
      <w:pPr>
        <w:spacing w:after="100"/>
        <w:jc w:val="right"/>
        <w:bidi w:val="1"/>
      </w:pPr>
      <w:r>
        <w:rPr>
          <w:rFonts w:ascii="Noto Sans Arabic" w:hAnsi="Noto Sans Arabic"/>
          <w:sz w:val="17"/>
          <w:rtl w:val="1"/>
        </w:rPr>
        <w:t xml:space="preserve">2. Pavlou V, et al. Effect of Time-Restricted Eating on Weight Loss in Adults With Type 2 Diabetes: A Randomized Clinical Trial. JAMA Network Open. 2023. </w:t>
      </w:r>
      <w:hyperlink r:id="rId12">
        <w:r>
          <w:rPr>
            <w:color w:val="2F75B5"/>
            <w:u w:val="single"/>
            <w:rtl w:val="1"/>
          </w:rPr>
          <w:t>الرابط الرسمي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65" w:bottom="893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Arabic" w:hAnsi="Noto Sans Arabic"/>
        <w:color w:val="6B7280"/>
        <w:sz w:val="16"/>
        <w:rtl w:val="1"/>
      </w:rPr>
      <w:t xml:space="preserve">إعداد رسمي لصالح Ahmed Labib  |  2 يوليو 2026  |  صفحة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Noto Sans Arabic" w:hAnsi="Noto Sans Arabic"/>
        <w:b/>
        <w:color w:val="548235"/>
        <w:sz w:val="18"/>
        <w:rtl w:val="1"/>
      </w:rPr>
      <w:t>مسار 100 يوم للمتعافي المستقر بعد العلاج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espen.org/files/ESPEN-Guidelines/ESPEN-practical-guideline-clinical-nutrition-in-cancer.pdf" TargetMode="External"/><Relationship Id="rId12" Type="http://schemas.openxmlformats.org/officeDocument/2006/relationships/hyperlink" Target="https://jamanetwork.com/journals/jamanetworkopen/fullarticle/28111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مسار 100 يوم للمتعافي المستقر بعد العلاج</dc:title>
  <dc:subject/>
  <dc:creator>Ahmed Labib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