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BF9000"/>
            <w:tcBorders>
              <w:top w:val="single" w:sz="0" w:color="BF9000"/>
              <w:left w:val="single" w:sz="0" w:color="BF9000"/>
              <w:bottom w:val="single" w:sz="0" w:color="BF9000"/>
              <w:right w:val="single" w:sz="0" w:color="BF9000"/>
              <w:insideH w:val="single" w:sz="0" w:color="BF9000"/>
              <w:insideV w:val="single" w:sz="0" w:color="BF9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Noto Sans Arabic" w:hAnsi="Noto Sans Arabic"/>
                <w:b/>
                <w:color w:val="FFFFFF"/>
                <w:sz w:val="46"/>
                <w:rtl w:val="1"/>
              </w:rPr>
              <w:t>جداول المتابعة ومعايير الإيقاف وقائمة مراجعة الطبيب</w:t>
            </w:r>
          </w:p>
        </w:tc>
      </w:tr>
    </w:tbl>
    <w:p>
      <w:pPr>
        <w:jc w:val="center"/>
      </w:pPr>
      <w:r>
        <w:rPr>
          <w:rFonts w:ascii="Noto Sans Arabic" w:hAnsi="Noto Sans Arabic"/>
          <w:color w:val="243447"/>
          <w:sz w:val="26"/>
          <w:rtl w:val="1"/>
        </w:rPr>
        <w:t>نماذج عملية قابلة للطباعة لمراقبة الأمان قبل وأثناء أي خطة توقيت للوجبات</w:t>
      </w:r>
    </w:p>
    <w:p>
      <w:pPr>
        <w:jc w:val="center"/>
      </w:pPr>
      <w:r>
        <w:rPr>
          <w:rFonts w:ascii="Noto Sans Arabic" w:hAnsi="Noto Sans Arabic"/>
          <w:color w:val="6B7280"/>
          <w:sz w:val="18"/>
          <w:rtl w:val="1"/>
        </w:rPr>
        <w:t>إعداد: Ahmed Labib  |  تاريخ الإصدار: 2 يوليو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C0392B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21"/>
                <w:rtl w:val="1"/>
              </w:rPr>
              <w:t>تنبيه مهم</w:t>
            </w:r>
          </w:p>
        </w:tc>
      </w:tr>
      <w:tr>
        <w:tc>
          <w:tcPr>
            <w:tcW w:type="dxa" w:w="10310"/>
            <w:shd w:fill="FDEDE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9"/>
                <w:rtl w:val="1"/>
              </w:rPr>
              <w:t>عند وجود سرطان أو علاج نشط، تكون تعليمات فريق الأورام مقدمة على أي جدول في هذا الملف. الأعراض الخطرة تتطلب إيقاف الخطة والتواصل الطبي.</w:t>
            </w:r>
          </w:p>
        </w:tc>
      </w:tr>
    </w:tbl>
    <w:p>
      <w:pPr>
        <w:spacing w:after="0"/>
      </w:pP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جدول المتابعة الأساسي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</w:trPr>
        <w:tc>
          <w:tcPr>
            <w:tcW w:type="dxa" w:w="2577"/>
            <w:shd w:fill="BF900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المؤشر</w:t>
            </w:r>
          </w:p>
        </w:tc>
        <w:tc>
          <w:tcPr>
            <w:tcW w:type="dxa" w:w="2577"/>
            <w:shd w:fill="BF900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التكرار</w:t>
            </w:r>
          </w:p>
        </w:tc>
        <w:tc>
          <w:tcPr>
            <w:tcW w:type="dxa" w:w="2577"/>
            <w:shd w:fill="BF900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الاتجاه المقبول</w:t>
            </w:r>
          </w:p>
        </w:tc>
        <w:tc>
          <w:tcPr>
            <w:tcW w:type="dxa" w:w="2577"/>
            <w:shd w:fill="BF900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عتبة التدخل</w:t>
            </w:r>
          </w:p>
        </w:tc>
      </w:tr>
      <w:tr>
        <w:tc>
          <w:tcPr>
            <w:tcW w:type="dxa" w:w="257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الوزن</w:t>
            </w:r>
          </w:p>
        </w:tc>
        <w:tc>
          <w:tcPr>
            <w:tcW w:type="dxa" w:w="257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مرة أسبوعيًا على الأقل</w:t>
            </w:r>
          </w:p>
        </w:tc>
        <w:tc>
          <w:tcPr>
            <w:tcW w:type="dxa" w:w="257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ثبات ما لم توجد خطة تخسيس طبية</w:t>
            </w:r>
          </w:p>
        </w:tc>
        <w:tc>
          <w:tcPr>
            <w:tcW w:type="dxa" w:w="257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أي فقد غير مقصود مستمر → إيقاف ومراجعة</w:t>
            </w:r>
          </w:p>
        </w:tc>
      </w:tr>
      <w:tr>
        <w:tc>
          <w:tcPr>
            <w:tcW w:type="dxa" w:w="257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كمية الطعام</w:t>
            </w:r>
          </w:p>
        </w:tc>
        <w:tc>
          <w:tcPr>
            <w:tcW w:type="dxa" w:w="257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يوميًا أثناء العلاج</w:t>
            </w:r>
          </w:p>
        </w:tc>
        <w:tc>
          <w:tcPr>
            <w:tcW w:type="dxa" w:w="257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تحقيق هدف الفريق الطبي</w:t>
            </w:r>
          </w:p>
        </w:tc>
        <w:tc>
          <w:tcPr>
            <w:tcW w:type="dxa" w:w="257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أقل من 50% لأكثر من أسبوع → تقييم عاجل</w:t>
            </w:r>
          </w:p>
        </w:tc>
      </w:tr>
      <w:tr>
        <w:tc>
          <w:tcPr>
            <w:tcW w:type="dxa" w:w="257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السوائل والبول</w:t>
            </w:r>
          </w:p>
        </w:tc>
        <w:tc>
          <w:tcPr>
            <w:tcW w:type="dxa" w:w="257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يوميًا</w:t>
            </w:r>
          </w:p>
        </w:tc>
        <w:tc>
          <w:tcPr>
            <w:tcW w:type="dxa" w:w="257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عطش طبيعي وبول منتظم</w:t>
            </w:r>
          </w:p>
        </w:tc>
        <w:tc>
          <w:tcPr>
            <w:tcW w:type="dxa" w:w="257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قلة بول أو دوخة أو قيء/إسهال → اتصال بالفريق</w:t>
            </w:r>
          </w:p>
        </w:tc>
      </w:tr>
      <w:tr>
        <w:tc>
          <w:tcPr>
            <w:tcW w:type="dxa" w:w="257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القوة والوظيفة</w:t>
            </w:r>
          </w:p>
        </w:tc>
        <w:tc>
          <w:tcPr>
            <w:tcW w:type="dxa" w:w="257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أسبوعيًا</w:t>
            </w:r>
          </w:p>
        </w:tc>
        <w:tc>
          <w:tcPr>
            <w:tcW w:type="dxa" w:w="257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المشي والسلالم والنشاط ثابت</w:t>
            </w:r>
          </w:p>
        </w:tc>
        <w:tc>
          <w:tcPr>
            <w:tcW w:type="dxa" w:w="257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تراجع واضح → تقييم العضلات والتغذية</w:t>
            </w:r>
          </w:p>
        </w:tc>
      </w:tr>
      <w:tr>
        <w:tc>
          <w:tcPr>
            <w:tcW w:type="dxa" w:w="257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السكر</w:t>
            </w:r>
          </w:p>
        </w:tc>
        <w:tc>
          <w:tcPr>
            <w:tcW w:type="dxa" w:w="257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حسب الوصفة</w:t>
            </w:r>
          </w:p>
        </w:tc>
        <w:tc>
          <w:tcPr>
            <w:tcW w:type="dxa" w:w="257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داخل المدى المحدد طبيًا</w:t>
            </w:r>
          </w:p>
        </w:tc>
        <w:tc>
          <w:tcPr>
            <w:tcW w:type="dxa" w:w="257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أعراض هبوط أو قراءة منخفضة → علاج فوري واستشارة</w:t>
            </w:r>
          </w:p>
        </w:tc>
      </w:tr>
      <w:tr>
        <w:tc>
          <w:tcPr>
            <w:tcW w:type="dxa" w:w="257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أعراض العلاج</w:t>
            </w:r>
          </w:p>
        </w:tc>
        <w:tc>
          <w:tcPr>
            <w:tcW w:type="dxa" w:w="257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يوميًا</w:t>
            </w:r>
          </w:p>
        </w:tc>
        <w:tc>
          <w:tcPr>
            <w:tcW w:type="dxa" w:w="257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يمكن الأكل والشرب بقدر كافٍ</w:t>
            </w:r>
          </w:p>
        </w:tc>
        <w:tc>
          <w:tcPr>
            <w:tcW w:type="dxa" w:w="257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قرح شديدة/صعوبة بلع/انسداد/غثيان غير مسيطر → مراجعة</w:t>
            </w:r>
          </w:p>
        </w:tc>
      </w:tr>
    </w:tbl>
    <w:p>
      <w:pPr>
        <w:spacing w:after="0"/>
      </w:pP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معايير الإيقاف الفوري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إغماء، ارتباك، ألم صدر، خفقان شديد، أو ضيق نفس جديد.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قيء متكرر، إسهال شديد، عدم القدرة على الاحتفاظ بالسوائل، أو قلة بول ملحوظة.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تعرق ورعشة وارتباك وضعف شديد أو فقد وعي بما قد يشير لهبوط السكر.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فقد وزن سريع أو مستمر، ضعف متزايد، أو عدم القدرة على تناول الاحتياج.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صعوبة بلع جديدة، ألم بطن شديد، انتفاخ مع قيء، أو علامات انسداد.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أي تعليمات مباشرة من طبيب الأورام أو الفريق بإيقاف الخطة.</w:t>
      </w: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قائمة مراجعة الطبيب قبل البدء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2F75B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البند</w:t>
            </w:r>
          </w:p>
        </w:tc>
        <w:tc>
          <w:tcPr>
            <w:tcW w:type="dxa" w:w="3437"/>
            <w:shd w:fill="2F75B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تم</w:t>
            </w:r>
          </w:p>
        </w:tc>
        <w:tc>
          <w:tcPr>
            <w:tcW w:type="dxa" w:w="3437"/>
            <w:shd w:fill="2F75B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ملاحظات الطبيب / التعليمات</w:t>
            </w:r>
          </w:p>
        </w:tc>
      </w:tr>
      <w:tr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تأكيد التشخيص والمرحلة وحالة المرض الحالية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☐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</w:r>
          </w:p>
        </w:tc>
      </w:tr>
      <w:tr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تسجيل نوع العلاج ومواعيده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☐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</w:r>
          </w:p>
        </w:tc>
      </w:tr>
      <w:tr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مراجعة اتجاه الوزن ومؤشرات سوء التغذية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☐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</w:r>
          </w:p>
        </w:tc>
      </w:tr>
      <w:tr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تقييم أخصائي تغذية أورام عند الإمكان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☐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</w:r>
          </w:p>
        </w:tc>
      </w:tr>
      <w:tr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مراجعة السكري والأدوية وخطر هبوط الضغط/السكر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☐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</w:r>
          </w:p>
        </w:tc>
      </w:tr>
      <w:tr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مراجعة وظائف الكلى والكبد والسوائل حسب الحاجة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☐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</w:r>
          </w:p>
        </w:tc>
      </w:tr>
      <w:tr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تحديد نافذة الوجبات المسموح بها كتابةً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☐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</w:r>
          </w:p>
        </w:tc>
      </w:tr>
      <w:tr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تحديد الأعراض التي تستلزم الإيقاف أو الاتصال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☐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</w:r>
          </w:p>
        </w:tc>
      </w:tr>
      <w:tr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تحديد تاريخ المراجعة والمتابعة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☐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</w:r>
          </w:p>
        </w:tc>
      </w:tr>
    </w:tbl>
    <w:p>
      <w:pPr>
        <w:spacing w:after="0"/>
      </w:pP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سجل أسبوعي لمدة 14 أسبوعًا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473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الأسبوع</w:t>
            </w:r>
          </w:p>
        </w:tc>
        <w:tc>
          <w:tcPr>
            <w:tcW w:type="dxa" w:w="1473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الأيام</w:t>
            </w:r>
          </w:p>
        </w:tc>
        <w:tc>
          <w:tcPr>
            <w:tcW w:type="dxa" w:w="1473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الوزن</w:t>
            </w:r>
          </w:p>
        </w:tc>
        <w:tc>
          <w:tcPr>
            <w:tcW w:type="dxa" w:w="1473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النافذة</w:t>
            </w:r>
          </w:p>
        </w:tc>
        <w:tc>
          <w:tcPr>
            <w:tcW w:type="dxa" w:w="1473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الشهية 0–10</w:t>
            </w:r>
          </w:p>
        </w:tc>
        <w:tc>
          <w:tcPr>
            <w:tcW w:type="dxa" w:w="1473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الطاقة 0–10</w:t>
            </w:r>
          </w:p>
        </w:tc>
        <w:tc>
          <w:tcPr>
            <w:tcW w:type="dxa" w:w="1473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ملاحظات/أعراض</w:t>
            </w:r>
          </w:p>
        </w:tc>
      </w:tr>
      <w:tr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1–7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  <w:tr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2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8–14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  <w:tr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3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15–21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  <w:tr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4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22–28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  <w:tr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5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29–35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  <w:tr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6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36–42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  <w:tr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7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43–49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  <w:tr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8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50–56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  <w:tr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9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57–63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  <w:tr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10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64–70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  <w:tr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11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71–77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  <w:tr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12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78–84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  <w:tr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13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85–91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  <w:tr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14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92–98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</w:r>
          </w:p>
        </w:tc>
      </w:tr>
    </w:tbl>
    <w:p>
      <w:pPr>
        <w:spacing w:after="0"/>
      </w:pP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سجل يومي مختصر قابل للنسخ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473"/>
            <w:shd w:fill="7030A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التاريخ</w:t>
            </w:r>
          </w:p>
        </w:tc>
        <w:tc>
          <w:tcPr>
            <w:tcW w:type="dxa" w:w="1473"/>
            <w:shd w:fill="7030A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الوزن</w:t>
            </w:r>
          </w:p>
        </w:tc>
        <w:tc>
          <w:tcPr>
            <w:tcW w:type="dxa" w:w="1473"/>
            <w:shd w:fill="7030A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نافذة الأكل</w:t>
            </w:r>
          </w:p>
        </w:tc>
        <w:tc>
          <w:tcPr>
            <w:tcW w:type="dxa" w:w="1473"/>
            <w:shd w:fill="7030A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السوائل</w:t>
            </w:r>
          </w:p>
        </w:tc>
        <w:tc>
          <w:tcPr>
            <w:tcW w:type="dxa" w:w="1473"/>
            <w:shd w:fill="7030A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الشهية</w:t>
            </w:r>
          </w:p>
        </w:tc>
        <w:tc>
          <w:tcPr>
            <w:tcW w:type="dxa" w:w="1473"/>
            <w:shd w:fill="7030A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الطاقة</w:t>
            </w:r>
          </w:p>
        </w:tc>
        <w:tc>
          <w:tcPr>
            <w:tcW w:type="dxa" w:w="1473"/>
            <w:shd w:fill="7030A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الأعراض أو الأدوية</w:t>
            </w:r>
          </w:p>
        </w:tc>
      </w:tr>
      <w:tr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 ____ / ____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كجم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: ____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لتر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/10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/10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________________________</w:t>
            </w:r>
          </w:p>
        </w:tc>
      </w:tr>
      <w:tr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 ____ / ____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كجم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: ____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لتر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/10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/10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________________________</w:t>
            </w:r>
          </w:p>
        </w:tc>
      </w:tr>
      <w:tr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 ____ / ____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كجم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: ____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لتر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/10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/10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________________________</w:t>
            </w:r>
          </w:p>
        </w:tc>
      </w:tr>
      <w:tr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 ____ / ____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كجم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: ____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لتر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/10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/10</w:t>
            </w:r>
          </w:p>
        </w:tc>
        <w:tc>
          <w:tcPr>
            <w:tcW w:type="dxa" w:w="1473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________________________</w:t>
            </w:r>
          </w:p>
        </w:tc>
      </w:tr>
      <w:tr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 ____ / ____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كجم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: ____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لتر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/10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 /10</w:t>
            </w:r>
          </w:p>
        </w:tc>
        <w:tc>
          <w:tcPr>
            <w:tcW w:type="dxa" w:w="1473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________________________</w:t>
            </w:r>
          </w:p>
        </w:tc>
      </w:tr>
    </w:tbl>
    <w:p>
      <w:pPr>
        <w:spacing w:after="0"/>
      </w:pPr>
    </w:p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65" w:bottom="89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/>
        <w:color w:val="6B7280"/>
        <w:sz w:val="16"/>
        <w:rtl w:val="1"/>
      </w:rPr>
      <w:t xml:space="preserve">إعداد رسمي لصالح Ahmed Labib  |  2 يوليو 2026  |  صفحة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/>
        <w:b/>
        <w:color w:val="BF9000"/>
        <w:sz w:val="18"/>
        <w:rtl w:val="1"/>
      </w:rPr>
      <w:t>جداول المتابعة ومعايير الإيقاف وقائمة مراجعة الطبيب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espen.org/files/ESPEN-Guidelines/ESPEN-practical-guideline-clinical-nutrition-in-canc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جداول المتابعة ومعايير الإيقاف وقائمة مراجعة الطبيب</dc:title>
  <dc:subject/>
  <dc:creator>Ahmed Labib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