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10"/>
      </w:tblGrid>
      <w:tr>
        <w:tc>
          <w:tcPr>
            <w:tcW w:type="dxa" w:w="10310"/>
            <w:shd w:fill="C0392B"/>
            <w:tcBorders>
              <w:top w:val="single" w:sz="0" w:color="C0392B"/>
              <w:left w:val="single" w:sz="0" w:color="C0392B"/>
              <w:bottom w:val="single" w:sz="0" w:color="C0392B"/>
              <w:right w:val="single" w:sz="0" w:color="C0392B"/>
              <w:insideH w:val="single" w:sz="0" w:color="C0392B"/>
              <w:insideV w:val="single" w:sz="0" w:color="C0392B"/>
            </w:tcBorders>
            <w:tcMar>
              <w:top w:w="80" w:type="dxa"/>
              <w:left w:w="90" w:type="dxa"/>
              <w:bottom w:w="80" w:type="dxa"/>
              <w:right w:w="90" w:type="dxa"/>
            </w:tcMar>
          </w:tcPr>
          <w:p>
            <w:pPr>
              <w:spacing w:before="400" w:after="400"/>
              <w:jc w:val="center"/>
            </w:pPr>
            <w:r>
              <w:rPr>
                <w:rFonts w:ascii="Noto Sans Arabic" w:hAnsi="Noto Sans Arabic"/>
                <w:b/>
                <w:color w:val="FFFFFF"/>
                <w:sz w:val="46"/>
                <w:rtl w:val="1"/>
              </w:rPr>
              <w:t>خطة 100 يوم للمريض أثناء علاج السرطان</w:t>
            </w:r>
          </w:p>
        </w:tc>
      </w:tr>
    </w:tbl>
    <w:p>
      <w:pPr>
        <w:jc w:val="center"/>
      </w:pPr>
      <w:r>
        <w:rPr>
          <w:rFonts w:ascii="Noto Sans Arabic" w:hAnsi="Noto Sans Arabic"/>
          <w:color w:val="243447"/>
          <w:sz w:val="26"/>
          <w:rtl w:val="1"/>
        </w:rPr>
        <w:t>مسار حماية التغذية والسوائل والعضلات — وليس برنامج صيام علاجي</w:t>
      </w:r>
    </w:p>
    <w:p>
      <w:pPr>
        <w:jc w:val="center"/>
      </w:pPr>
      <w:r>
        <w:rPr>
          <w:rFonts w:ascii="Noto Sans Arabic" w:hAnsi="Noto Sans Arabic"/>
          <w:color w:val="6B7280"/>
          <w:sz w:val="18"/>
          <w:rtl w:val="1"/>
        </w:rPr>
        <w:t>إعداد: Ahmed Labib  |  تاريخ الإصدار: 2 يوليو 2026</w:t>
      </w:r>
    </w:p>
    <w:tbl>
      <w:tblPr>
        <w:tblW w:type="auto" w:w="0"/>
        <w:jc w:val="center"/>
        <w:tblLook w:firstColumn="1" w:firstRow="1" w:lastColumn="0" w:lastRow="0" w:noHBand="0" w:noVBand="1" w:val="04A0"/>
      </w:tblPr>
      <w:tblGrid>
        <w:gridCol w:w="10310"/>
      </w:tblGrid>
      <w:tr>
        <w:tc>
          <w:tcPr>
            <w:tcW w:type="dxa" w:w="10310"/>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21"/>
                <w:rtl w:val="1"/>
              </w:rPr>
              <w:t>تنبيه مهم</w:t>
            </w:r>
          </w:p>
        </w:tc>
      </w:tr>
      <w:tr>
        <w:tc>
          <w:tcPr>
            <w:tcW w:type="dxa" w:w="10310"/>
            <w:shd w:fill="FDEDE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9"/>
                <w:rtl w:val="1"/>
              </w:rPr>
              <w:t>لا توجد خطة صيام لمدة 100 يوم ثبت أنها تعالج السرطان. أثناء العلاج النشط، الخطة الآمنة هي حماية التغذية وتحمل العلاج. أي امتناع متعمد عن الطعام يحتاج موافقة صريحة من طبيب الأورام وأخصائي التغذية.</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بوابة الأمان قبل اليوم الأول</w:t>
      </w:r>
    </w:p>
    <w:p>
      <w:pPr>
        <w:spacing w:after="80" w:line="276" w:lineRule="auto"/>
        <w:ind w:right="173" w:left="72"/>
        <w:jc w:val="right"/>
        <w:bidi w:val="1"/>
      </w:pPr>
      <w:r>
        <w:rPr>
          <w:rFonts w:ascii="Noto Sans Arabic" w:hAnsi="Noto Sans Arabic"/>
          <w:color w:val="243447"/>
          <w:sz w:val="20"/>
          <w:rtl w:val="1"/>
        </w:rPr>
        <w:t>•  توثيق نوع السرطان ومرحلته ونوع العلاج ومواعيده.</w:t>
      </w:r>
    </w:p>
    <w:p>
      <w:pPr>
        <w:spacing w:after="80" w:line="276" w:lineRule="auto"/>
        <w:ind w:right="173" w:left="72"/>
        <w:jc w:val="right"/>
        <w:bidi w:val="1"/>
      </w:pPr>
      <w:r>
        <w:rPr>
          <w:rFonts w:ascii="Noto Sans Arabic" w:hAnsi="Noto Sans Arabic"/>
          <w:color w:val="243447"/>
          <w:sz w:val="20"/>
          <w:rtl w:val="1"/>
        </w:rPr>
        <w:t>•  مراجعة الوزن خلال 1–3 أشهر، الشهية، كمية الأكل، قوة العضلات، والجفاف.</w:t>
      </w:r>
    </w:p>
    <w:p>
      <w:pPr>
        <w:spacing w:after="80" w:line="276" w:lineRule="auto"/>
        <w:ind w:right="173" w:left="72"/>
        <w:jc w:val="right"/>
        <w:bidi w:val="1"/>
      </w:pPr>
      <w:r>
        <w:rPr>
          <w:rFonts w:ascii="Noto Sans Arabic" w:hAnsi="Noto Sans Arabic"/>
          <w:color w:val="243447"/>
          <w:sz w:val="20"/>
          <w:rtl w:val="1"/>
        </w:rPr>
        <w:t>•  مراجعة أدوية السكري والضغط ومضادات التجلط والكورتيزون وكل دواء يلزم تناوله مع الطعام.</w:t>
      </w:r>
    </w:p>
    <w:p>
      <w:pPr>
        <w:spacing w:after="80" w:line="276" w:lineRule="auto"/>
        <w:ind w:right="173" w:left="72"/>
        <w:jc w:val="right"/>
        <w:bidi w:val="1"/>
      </w:pPr>
      <w:r>
        <w:rPr>
          <w:rFonts w:ascii="Noto Sans Arabic" w:hAnsi="Noto Sans Arabic"/>
          <w:color w:val="243447"/>
          <w:sz w:val="20"/>
          <w:rtl w:val="1"/>
        </w:rPr>
        <w:t>•  عدم وجود فقد وزن غير مقصود أو قيء/إسهال غير مسيطر عليه أو قرح فم شديدة أو انسداد أو صعوبة بلع.</w:t>
      </w:r>
    </w:p>
    <w:p>
      <w:pPr>
        <w:spacing w:after="80" w:line="276" w:lineRule="auto"/>
        <w:ind w:right="173" w:left="72"/>
        <w:jc w:val="right"/>
        <w:bidi w:val="1"/>
      </w:pPr>
      <w:r>
        <w:rPr>
          <w:rFonts w:ascii="Noto Sans Arabic" w:hAnsi="Noto Sans Arabic"/>
          <w:color w:val="243447"/>
          <w:sz w:val="20"/>
          <w:rtl w:val="1"/>
        </w:rPr>
        <w:t>•  تحديد هدف تغذوي من الطبيب أو أخصائي التغذية ومتى يجب الاتصال بالفريق.</w:t>
      </w:r>
    </w:p>
    <w:p>
      <w:pPr>
        <w:spacing w:before="240" w:after="120"/>
        <w:jc w:val="right"/>
        <w:bidi w:val="1"/>
        <w:pBdr>
          <w:bottom w:val="single" w:sz="10" w:space="3" w:color="17365D"/>
        </w:pBdr>
      </w:pPr>
      <w:r>
        <w:rPr>
          <w:rFonts w:ascii="Noto Sans Arabic" w:hAnsi="Noto Sans Arabic"/>
          <w:b/>
          <w:color w:val="17365D"/>
          <w:sz w:val="32"/>
          <w:rtl w:val="1"/>
        </w:rPr>
        <w:t>الخطة المرحلية</w:t>
      </w:r>
    </w:p>
    <w:tbl>
      <w:tblPr>
        <w:tblW w:type="auto" w:w="0"/>
        <w:jc w:val="center"/>
        <w:tblLayout w:type="autofit"/>
        <w:tblLook w:firstColumn="1" w:firstRow="1" w:lastColumn="0" w:lastRow="0" w:noHBand="0" w:noVBand="1" w:val="04A0"/>
      </w:tblPr>
      <w:tblGrid>
        <w:gridCol w:w="2577"/>
        <w:gridCol w:w="2577"/>
        <w:gridCol w:w="2577"/>
        <w:gridCol w:w="2577"/>
      </w:tblGrid>
      <w:tr>
        <w:trPr>
          <w:tblHeader w:val="true"/>
        </w:trPr>
        <w:tc>
          <w:tcPr>
            <w:tcW w:type="dxa" w:w="2577"/>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الأيام</w:t>
            </w:r>
          </w:p>
        </w:tc>
        <w:tc>
          <w:tcPr>
            <w:tcW w:type="dxa" w:w="2577"/>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الهدف الأساسي</w:t>
            </w:r>
          </w:p>
        </w:tc>
        <w:tc>
          <w:tcPr>
            <w:tcW w:type="dxa" w:w="2577"/>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التركيب اليومي</w:t>
            </w:r>
          </w:p>
        </w:tc>
        <w:tc>
          <w:tcPr>
            <w:tcW w:type="dxa" w:w="2577"/>
            <w:shd w:fill="C0392B"/>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قاعدة القرار</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1–10</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تقييم طبي وغذائي</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وجبات منتظمة بلا صيام متعمد؛ خطة سوائل؛ تسجيل الأعراض</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أي فقد وزن أو ضعف تناول → مراجعة الفريق</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11–20</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تثبيت المدخول</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3 وجبات و1–3 وجبات خفيفة حسب التحمل؛ مصدر بروتين في كل مرة</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لا تطل فترة الليل عن الحد الذي يوافق عليه الطبيب</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21–30</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تحمل العلاج</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تكييف الطعام مع الغثيان وألم الفم والأمعاء ومواعيد الدواء</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لا صيام حول العلاج إلا ضمن بروتوكول بحثي معتمد</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31–40</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حماية العضلات</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بروتين وطاقة كافيان؛ حركة أو علاج طبيعي إذا سمح الطبيب</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زيادة الضعف تستلزم تقييمًا لا تقييدًا</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41–50</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السوائل والأملاح</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سوائل منتظمة ومحاليل إماهة عند وصفها</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دوخة أو قلة بول أو قيء متكرر → إيقاف واتصال</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51–60</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مراجعة الكفاية</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مقارنة المدخول بالاحتياج؛ مكملات غذائية فموية إذا وُصفت</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أقل من 50% لأكثر من أسبوع يستلزم تدخلًا سريعًا</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61–70</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التكيف مع دورة العلاج</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استغلال الأيام الأفضل شهية وتحضير وجبات سهلة</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لا تعويض لليوم الجيد بصيام اليوم التالي</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71–80</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ضبط الأعراض</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خطة للطعم والبلع والإمساك والإسهال والتعب</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صعوبة بلع جديدة أو علامات انسداد → تقييم عاجل</w:t>
            </w:r>
          </w:p>
        </w:tc>
      </w:tr>
      <w:tr>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81–90</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إعادة تقييم الجسم</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وزن وقوة ووظيفة وملاءمة الملابس</w:t>
            </w:r>
          </w:p>
        </w:tc>
        <w:tc>
          <w:tcPr>
            <w:tcW w:type="dxa" w:w="257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استمرار النقص → زيادة كثافة الطاقة والبروتين</w:t>
            </w:r>
          </w:p>
        </w:tc>
      </w:tr>
      <w:tr>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91–100</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خطة الاستمرار</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جدول غذائي مستدام ومراجعة مواعيد المتابعة</w:t>
            </w:r>
          </w:p>
        </w:tc>
        <w:tc>
          <w:tcPr>
            <w:tcW w:type="dxa" w:w="257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6"/>
                <w:rtl w:val="1"/>
              </w:rPr>
              <w:t>مناقشة توقيت الوجبات فقط بعد الاستقرار وانتهاء الخطر</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إطار غذائي عملي</w:t>
      </w:r>
    </w:p>
    <w:tbl>
      <w:tblPr>
        <w:tblW w:type="auto" w:w="0"/>
        <w:jc w:val="center"/>
        <w:tblLayout w:type="autofit"/>
        <w:tblLook w:firstColumn="1" w:firstRow="1" w:lastColumn="0" w:lastRow="0" w:noHBand="0" w:noVBand="1" w:val="04A0"/>
      </w:tblPr>
      <w:tblGrid>
        <w:gridCol w:w="3437"/>
        <w:gridCol w:w="3437"/>
        <w:gridCol w:w="3437"/>
      </w:tblGrid>
      <w:tr>
        <w:trPr>
          <w:tblHeader w:val="true"/>
        </w:trPr>
        <w:tc>
          <w:tcPr>
            <w:tcW w:type="dxa" w:w="3437"/>
            <w:shd w:fill="54823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الأولوية</w:t>
            </w:r>
          </w:p>
        </w:tc>
        <w:tc>
          <w:tcPr>
            <w:tcW w:type="dxa" w:w="3437"/>
            <w:shd w:fill="54823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أمثلة</w:t>
            </w:r>
          </w:p>
        </w:tc>
        <w:tc>
          <w:tcPr>
            <w:tcW w:type="dxa" w:w="3437"/>
            <w:shd w:fill="54823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18"/>
                <w:rtl w:val="1"/>
              </w:rPr>
              <w:t>الملاحظة الطبية</w:t>
            </w:r>
          </w:p>
        </w:tc>
      </w:tr>
      <w:tr>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البروتين</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بيض، سمك، دجاج، ألبان، بقول، توفو، مكمل موصوف</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يوزّع على الوجبات؛ الكمية يحددها الفريق</w:t>
            </w:r>
          </w:p>
        </w:tc>
      </w:tr>
      <w:tr>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الطاقة</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أرز، بطاطس، خبز، شوفان، زيت زيتون، طحينة، مكسرات حسب الحالة</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تزداد كثافة الطاقة عند ضعف الشهية</w:t>
            </w:r>
          </w:p>
        </w:tc>
      </w:tr>
      <w:tr>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السوائل</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ماء، شوربة، محلول إماهة إذا وصف</w:t>
            </w:r>
          </w:p>
        </w:tc>
        <w:tc>
          <w:tcPr>
            <w:tcW w:type="dxa" w:w="3437"/>
            <w:shd w:fill="FFFFFF"/>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تعدل حسب الكلى والقلب والقيء والإسهال</w:t>
            </w:r>
          </w:p>
        </w:tc>
      </w:tr>
      <w:tr>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سلامة الغذاء</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طهي جيد ونظافة وتخزين صحيح</w:t>
            </w:r>
          </w:p>
        </w:tc>
        <w:tc>
          <w:tcPr>
            <w:tcW w:type="dxa" w:w="3437"/>
            <w:shd w:fill="F7F9FC"/>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7"/>
                <w:rtl w:val="1"/>
              </w:rPr>
              <w:t>اتباع تعليمات نقص المناعة/العدلات</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ما هو ممنوع ضمن هذه الخطة؟</w:t>
      </w:r>
    </w:p>
    <w:p>
      <w:pPr>
        <w:spacing w:after="80" w:line="276" w:lineRule="auto"/>
        <w:ind w:right="173" w:left="72"/>
        <w:jc w:val="right"/>
        <w:bidi w:val="1"/>
      </w:pPr>
      <w:r>
        <w:rPr>
          <w:rFonts w:ascii="Noto Sans Arabic" w:hAnsi="Noto Sans Arabic"/>
          <w:color w:val="C0392B"/>
          <w:sz w:val="20"/>
          <w:rtl w:val="1"/>
        </w:rPr>
        <w:t>•  الصيام المائي 24–72 ساعة أو الصيام الجاف.</w:t>
      </w:r>
    </w:p>
    <w:p>
      <w:pPr>
        <w:spacing w:after="80" w:line="276" w:lineRule="auto"/>
        <w:ind w:right="173" w:left="72"/>
        <w:jc w:val="right"/>
        <w:bidi w:val="1"/>
      </w:pPr>
      <w:r>
        <w:rPr>
          <w:rFonts w:ascii="Noto Sans Arabic" w:hAnsi="Noto Sans Arabic"/>
          <w:color w:val="C0392B"/>
          <w:sz w:val="20"/>
          <w:rtl w:val="1"/>
        </w:rPr>
        <w:t>•  الصيام قبل الكيماوي أو بعده من دون موافقة وبروتوكول.</w:t>
      </w:r>
    </w:p>
    <w:p>
      <w:pPr>
        <w:spacing w:after="80" w:line="276" w:lineRule="auto"/>
        <w:ind w:right="173" w:left="72"/>
        <w:jc w:val="right"/>
        <w:bidi w:val="1"/>
      </w:pPr>
      <w:r>
        <w:rPr>
          <w:rFonts w:ascii="Noto Sans Arabic" w:hAnsi="Noto Sans Arabic"/>
          <w:color w:val="C0392B"/>
          <w:sz w:val="20"/>
          <w:rtl w:val="1"/>
        </w:rPr>
        <w:t>•  إيقاف المكملات الغذائية الموصوفة لحماية نافذة الصيام.</w:t>
      </w:r>
    </w:p>
    <w:p>
      <w:pPr>
        <w:spacing w:after="80" w:line="276" w:lineRule="auto"/>
        <w:ind w:right="173" w:left="72"/>
        <w:jc w:val="right"/>
        <w:bidi w:val="1"/>
      </w:pPr>
      <w:r>
        <w:rPr>
          <w:rFonts w:ascii="Noto Sans Arabic" w:hAnsi="Noto Sans Arabic"/>
          <w:color w:val="C0392B"/>
          <w:sz w:val="20"/>
          <w:rtl w:val="1"/>
        </w:rPr>
        <w:t>•  تعديل جرعات الأدوية أو مواعيدها ذاتيًا.</w:t>
      </w:r>
    </w:p>
    <w:p>
      <w:pPr>
        <w:spacing w:after="80" w:line="276" w:lineRule="auto"/>
        <w:ind w:right="173" w:left="72"/>
        <w:jc w:val="right"/>
        <w:bidi w:val="1"/>
      </w:pPr>
      <w:r>
        <w:rPr>
          <w:rFonts w:ascii="Noto Sans Arabic" w:hAnsi="Noto Sans Arabic"/>
          <w:color w:val="C0392B"/>
          <w:sz w:val="20"/>
          <w:rtl w:val="1"/>
        </w:rPr>
        <w:t>•  اعتبار فقد الوزن أو ضعف العضلات نتيجة مرغوبة.</w:t>
      </w:r>
    </w:p>
    <w:tbl>
      <w:tblPr>
        <w:tblW w:type="auto" w:w="0"/>
        <w:jc w:val="center"/>
        <w:tblLook w:firstColumn="1" w:firstRow="1" w:lastColumn="0" w:lastRow="0" w:noHBand="0" w:noVBand="1" w:val="04A0"/>
      </w:tblPr>
      <w:tblGrid>
        <w:gridCol w:w="10310"/>
      </w:tblGrid>
      <w:tr>
        <w:tc>
          <w:tcPr>
            <w:tcW w:type="dxa" w:w="10310"/>
            <w:shd w:fill="548235"/>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center"/>
              <w:bidi w:val="1"/>
            </w:pPr>
            <w:r/>
            <w:r>
              <w:rPr>
                <w:rFonts w:ascii="Noto Sans Arabic" w:hAnsi="Noto Sans Arabic"/>
                <w:b/>
                <w:color w:val="FFFFFF"/>
                <w:sz w:val="21"/>
                <w:rtl w:val="1"/>
              </w:rPr>
              <w:t>الهدف الحقيقي في اليوم 100</w:t>
            </w:r>
          </w:p>
        </w:tc>
      </w:tr>
      <w:tr>
        <w:tc>
          <w:tcPr>
            <w:tcW w:type="dxa" w:w="10310"/>
            <w:shd w:fill="E2F0D9"/>
            <w:vAlign w:val="center"/>
            <w:tcBorders>
              <w:top w:val="single" w:sz="6" w:color="D9E2F3"/>
              <w:left w:val="single" w:sz="6" w:color="D9E2F3"/>
              <w:bottom w:val="single" w:sz="6" w:color="D9E2F3"/>
              <w:right w:val="single" w:sz="6" w:color="D9E2F3"/>
              <w:insideH w:val="single" w:sz="6" w:color="D9E2F3"/>
              <w:insideV w:val="single" w:sz="6" w:color="D9E2F3"/>
            </w:tcBorders>
            <w:tcMar>
              <w:top w:w="80" w:type="dxa"/>
              <w:left w:w="90" w:type="dxa"/>
              <w:bottom w:w="80" w:type="dxa"/>
              <w:right w:w="90" w:type="dxa"/>
            </w:tcMar>
          </w:tcPr>
          <w:p>
            <w:pPr>
              <w:spacing w:after="0" w:before="0" w:line="252" w:lineRule="auto"/>
              <w:jc w:val="right"/>
              <w:bidi w:val="1"/>
            </w:pPr>
            <w:r/>
            <w:r>
              <w:rPr>
                <w:rFonts w:ascii="Noto Sans Arabic" w:hAnsi="Noto Sans Arabic"/>
                <w:b w:val="0"/>
                <w:color w:val="243447"/>
                <w:sz w:val="19"/>
                <w:rtl w:val="1"/>
              </w:rPr>
              <w:t>استقرار الوزن والمدخول والسوائل والوظيفة، وتقليل تأثير الأعراض على التغذية، ووضع خطة طويلة الأجل بالتعاون مع فريق الأورام.</w:t>
            </w:r>
          </w:p>
        </w:tc>
      </w:tr>
    </w:tbl>
    <w:p>
      <w:pPr>
        <w:spacing w:after="0"/>
      </w:pPr>
    </w:p>
    <w:p>
      <w:pPr>
        <w:spacing w:before="240" w:after="120"/>
        <w:jc w:val="right"/>
        <w:bidi w:val="1"/>
        <w:pBdr>
          <w:bottom w:val="single" w:sz="10" w:space="3" w:color="17365D"/>
        </w:pBdr>
      </w:pPr>
      <w:r>
        <w:rPr>
          <w:rFonts w:ascii="Noto Sans Arabic" w:hAnsi="Noto Sans Arabic"/>
          <w:b/>
          <w:color w:val="17365D"/>
          <w:sz w:val="32"/>
          <w:rtl w:val="1"/>
        </w:rPr>
        <w:t>المراجع الأساسية</w:t>
      </w:r>
    </w:p>
    <w:p>
      <w:pPr>
        <w:spacing w:after="100"/>
        <w:jc w:val="right"/>
        <w:bidi w:val="1"/>
      </w:pPr>
      <w:r>
        <w:rPr>
          <w:rFonts w:ascii="Noto Sans Arabic" w:hAnsi="Noto Sans Arabic"/>
          <w:sz w:val="17"/>
          <w:rtl w:val="1"/>
        </w:rPr>
        <w:t xml:space="preserve">1. Muscaritoli M, Arends J, Bachmann P, et al. ESPEN practical guideline: Clinical Nutrition in Cancer. Clinical Nutrition. 2021;40:2898–2913. </w:t>
      </w:r>
      <w:hyperlink r:id="rId11">
        <w:r>
          <w:rPr>
            <w:color w:val="2F75B5"/>
            <w:u w:val="single"/>
            <w:rtl w:val="1"/>
          </w:rPr>
          <w:t>الرابط الرسمي</w:t>
        </w:r>
      </w:hyperlink>
    </w:p>
    <w:p>
      <w:pPr>
        <w:spacing w:after="100"/>
        <w:jc w:val="right"/>
        <w:bidi w:val="1"/>
      </w:pPr>
      <w:r>
        <w:rPr>
          <w:rFonts w:ascii="Noto Sans Arabic" w:hAnsi="Noto Sans Arabic"/>
          <w:sz w:val="17"/>
          <w:rtl w:val="1"/>
        </w:rPr>
        <w:t xml:space="preserve">2. de Groot S, et al. Short-term fasting and chemotherapy tolerance in HER2-negative breast cancer: randomized pilot study. BMC Cancer. 2015;15:652. </w:t>
      </w:r>
      <w:hyperlink r:id="rId12">
        <w:r>
          <w:rPr>
            <w:color w:val="2F75B5"/>
            <w:u w:val="single"/>
            <w:rtl w:val="1"/>
          </w:rPr>
          <w:t>الرابط الرسمي</w:t>
        </w:r>
      </w:hyperlink>
    </w:p>
    <w:p>
      <w:pPr>
        <w:spacing w:after="100"/>
        <w:jc w:val="right"/>
        <w:bidi w:val="1"/>
      </w:pPr>
      <w:r>
        <w:rPr>
          <w:rFonts w:ascii="Noto Sans Arabic" w:hAnsi="Noto Sans Arabic"/>
          <w:sz w:val="17"/>
          <w:rtl w:val="1"/>
        </w:rPr>
        <w:t xml:space="preserve">3. Safdie FM, et al. Fasting and cancer treatment in humans: a case series report. Aging. 2009;1:988–1007. </w:t>
      </w:r>
      <w:hyperlink r:id="rId13">
        <w:r>
          <w:rPr>
            <w:color w:val="2F75B5"/>
            <w:u w:val="single"/>
            <w:rtl w:val="1"/>
          </w:rPr>
          <w:t>الرابط الرسمي</w:t>
        </w:r>
      </w:hyperlink>
    </w:p>
    <w:p>
      <w:pPr>
        <w:spacing w:before="160" w:after="100"/>
        <w:jc w:val="right"/>
        <w:bidi w:val="1"/>
      </w:pPr>
      <w:r>
        <w:rPr>
          <w:rFonts w:ascii="Noto Sans Arabic" w:hAnsi="Noto Sans Arabic"/>
          <w:b/>
          <w:color w:val="C0392B"/>
          <w:sz w:val="26"/>
          <w:rtl w:val="1"/>
        </w:rPr>
        <w:t>سجل مراجعة كل 10 أيام</w:t>
      </w:r>
    </w:p>
    <w:tbl>
      <w:tblPr>
        <w:tblW w:type="auto" w:w="0"/>
        <w:jc w:val="center"/>
        <w:tblLook w:firstColumn="1" w:firstRow="1" w:lastColumn="0" w:lastRow="0" w:noHBand="0" w:noVBand="1" w:val="04A0"/>
      </w:tblPr>
      <w:tblGrid>
        <w:gridCol w:w="2062"/>
        <w:gridCol w:w="2062"/>
        <w:gridCol w:w="2062"/>
        <w:gridCol w:w="2062"/>
        <w:gridCol w:w="2062"/>
      </w:tblGrid>
      <w:tr>
        <w:tc>
          <w:tcPr>
            <w:tcW w:type="dxa" w:w="2062"/>
            <w:shd w:fill="C0392B"/>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center"/>
              <w:bidi w:val="1"/>
            </w:pPr>
            <w:r/>
            <w:r>
              <w:rPr>
                <w:rFonts w:ascii="Noto Sans Arabic" w:hAnsi="Noto Sans Arabic"/>
                <w:b/>
                <w:color w:val="FFFFFF"/>
                <w:sz w:val="16"/>
                <w:rtl w:val="1"/>
              </w:rPr>
              <w:t>الفترة</w:t>
            </w:r>
          </w:p>
        </w:tc>
        <w:tc>
          <w:tcPr>
            <w:tcW w:type="dxa" w:w="2062"/>
            <w:shd w:fill="C0392B"/>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center"/>
              <w:bidi w:val="1"/>
            </w:pPr>
            <w:r/>
            <w:r>
              <w:rPr>
                <w:rFonts w:ascii="Noto Sans Arabic" w:hAnsi="Noto Sans Arabic"/>
                <w:b/>
                <w:color w:val="FFFFFF"/>
                <w:sz w:val="16"/>
                <w:rtl w:val="1"/>
              </w:rPr>
              <w:t>الوزن/الاتجاه</w:t>
            </w:r>
          </w:p>
        </w:tc>
        <w:tc>
          <w:tcPr>
            <w:tcW w:type="dxa" w:w="2062"/>
            <w:shd w:fill="C0392B"/>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center"/>
              <w:bidi w:val="1"/>
            </w:pPr>
            <w:r/>
            <w:r>
              <w:rPr>
                <w:rFonts w:ascii="Noto Sans Arabic" w:hAnsi="Noto Sans Arabic"/>
                <w:b/>
                <w:color w:val="FFFFFF"/>
                <w:sz w:val="16"/>
                <w:rtl w:val="1"/>
              </w:rPr>
              <w:t>كمية الأكل</w:t>
            </w:r>
          </w:p>
        </w:tc>
        <w:tc>
          <w:tcPr>
            <w:tcW w:type="dxa" w:w="2062"/>
            <w:shd w:fill="C0392B"/>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center"/>
              <w:bidi w:val="1"/>
            </w:pPr>
            <w:r/>
            <w:r>
              <w:rPr>
                <w:rFonts w:ascii="Noto Sans Arabic" w:hAnsi="Noto Sans Arabic"/>
                <w:b/>
                <w:color w:val="FFFFFF"/>
                <w:sz w:val="16"/>
                <w:rtl w:val="1"/>
              </w:rPr>
              <w:t>القوة والنشاط</w:t>
            </w:r>
          </w:p>
        </w:tc>
        <w:tc>
          <w:tcPr>
            <w:tcW w:type="dxa" w:w="2062"/>
            <w:shd w:fill="C0392B"/>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center"/>
              <w:bidi w:val="1"/>
            </w:pPr>
            <w:r/>
            <w:r>
              <w:rPr>
                <w:rFonts w:ascii="Noto Sans Arabic" w:hAnsi="Noto Sans Arabic"/>
                <w:b/>
                <w:color w:val="FFFFFF"/>
                <w:sz w:val="16"/>
                <w:rtl w:val="1"/>
              </w:rPr>
              <w:t>قرار الفريق أو الملاحظة</w:t>
            </w:r>
          </w:p>
        </w:tc>
      </w:tr>
      <w:tr>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1–10</w:t>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11–20</w:t>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21–30</w:t>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31–40</w:t>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41–50</w:t>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51–60</w:t>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61–70</w:t>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71–80</w:t>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81–90</w:t>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FFFFF"/>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r>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t>91–100</w:t>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c>
          <w:tcPr>
            <w:tcW w:type="dxa" w:w="2062"/>
            <w:shd w:fill="F7F9FC"/>
            <w:tcBorders>
              <w:top w:val="single" w:sz="6" w:color="D9E2F3"/>
              <w:bottom w:val="single" w:sz="6" w:color="D9E2F3"/>
              <w:left w:val="single" w:sz="6" w:color="D9E2F3"/>
              <w:right w:val="single" w:sz="6" w:color="D9E2F3"/>
              <w:insideH w:val="single" w:sz="6" w:color="D9E2F3"/>
              <w:insideV w:val="single" w:sz="6" w:color="D9E2F3"/>
            </w:tcBorders>
            <w:vAlign w:val="center"/>
          </w:tcPr>
          <w:p>
            <w:pPr>
              <w:spacing w:before="0" w:after="0" w:line="240" w:lineRule="auto"/>
              <w:jc w:val="right"/>
              <w:bidi w:val="1"/>
            </w:pPr>
            <w:r/>
            <w:r>
              <w:rPr>
                <w:rFonts w:ascii="Noto Sans Arabic" w:hAnsi="Noto Sans Arabic"/>
                <w:b w:val="0"/>
                <w:color w:val="243447"/>
                <w:sz w:val="15"/>
                <w:rtl w:val="1"/>
              </w:rPr>
            </w:r>
          </w:p>
        </w:tc>
      </w:tr>
    </w:tbl>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olor w:val="6B7280"/>
        <w:sz w:val="16"/>
        <w:rtl w:val="1"/>
      </w:rPr>
      <w:t xml:space="preserve">إعداد رسمي لصالح Ahmed Labib  |  2 يوليو 2026  |  صفحة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b/>
        <w:color w:val="C0392B"/>
        <w:sz w:val="18"/>
        <w:rtl w:val="1"/>
      </w:rPr>
      <w:t>خطة 100 يوم للمريض أثناء علاج السرطان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spen.org/files/ESPEN-Guidelines/ESPEN-practical-guideline-clinical-nutrition-in-cancer.pdf" TargetMode="External"/><Relationship Id="rId12" Type="http://schemas.openxmlformats.org/officeDocument/2006/relationships/hyperlink" Target="https://bmccancer.biomedcentral.com/articles/10.1186/s12885-015-1663-5" TargetMode="External"/><Relationship Id="rId13" Type="http://schemas.openxmlformats.org/officeDocument/2006/relationships/hyperlink" Target="https://www.aging-us.com/article/100114/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100 يوم للمريض أثناء علاج السرطان</dc:title>
  <dc:subject/>
  <dc:creator>Ahmed Labib</dc:creator>
  <cp:keywords/>
  <dc:description>generated by python-docx</dc:description>
  <cp:lastModifiedBy/>
  <cp:revision>1</cp:revision>
  <dcterms:created xsi:type="dcterms:W3CDTF">2013-12-23T23:15:00Z</dcterms:created>
  <dcterms:modified xsi:type="dcterms:W3CDTF">2013-12-23T23:15:00Z</dcterms:modified>
  <cp:category/>
</cp:coreProperties>
</file>