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3360"/>
        <w:gridCol w:w="3360"/>
        <w:gridCol w:w="3360"/>
      </w:tblGrid>
      <w:tr>
        <w:tc>
          <w:tcPr>
            <w:tcW w:type="dxa" w:w="3168"/>
            <w:shd w:fill="5A43D6"/>
            <w:tcMar>
              <w:top w:w="35" w:type="dxa"/>
              <w:start w:w="0" w:type="dxa"/>
              <w:bottom w:w="35" w:type="dxa"/>
              <w:end w:w="0" w:type="dxa"/>
            </w:tcMar>
          </w:tcPr>
          <w:p>
            <w:r/>
          </w:p>
        </w:tc>
        <w:tc>
          <w:tcPr>
            <w:tcW w:type="dxa" w:w="3168"/>
            <w:shd w:fill="00A7A7"/>
            <w:tcMar>
              <w:top w:w="35" w:type="dxa"/>
              <w:start w:w="0" w:type="dxa"/>
              <w:bottom w:w="35" w:type="dxa"/>
              <w:end w:w="0" w:type="dxa"/>
            </w:tcMar>
          </w:tcPr>
          <w:p>
            <w:r/>
          </w:p>
        </w:tc>
        <w:tc>
          <w:tcPr>
            <w:tcW w:type="dxa" w:w="3168"/>
            <w:shd w:fill="F2B84B"/>
            <w:tcMar>
              <w:top w:w="35" w:type="dxa"/>
              <w:start w:w="0" w:type="dxa"/>
              <w:bottom w:w="35" w:type="dxa"/>
              <w:end w:w="0" w:type="dxa"/>
            </w:tcMar>
          </w:tcPr>
          <w:p>
            <w:r/>
          </w:p>
        </w:tc>
      </w:tr>
    </w:tbl>
    <w:p>
      <w:pPr>
        <w:spacing w:before="480" w:after="40"/>
      </w:pPr>
      <w:r>
        <w:rPr>
          <w:rFonts w:ascii="Arial" w:hAnsi="Arial"/>
          <w:b/>
          <w:color w:val="5A43D6"/>
          <w:sz w:val="20"/>
        </w:rPr>
        <w:t>PROFESSIONAL COURSE SERIES</w:t>
      </w:r>
    </w:p>
    <w:p>
      <w:pPr>
        <w:spacing w:before="40" w:after="0"/>
      </w:pPr>
      <w:r>
        <w:rPr>
          <w:rFonts w:ascii="Arial" w:hAnsi="Arial"/>
          <w:b/>
          <w:color w:val="10243E"/>
          <w:sz w:val="60"/>
        </w:rPr>
        <w:t>MARKETING PROJECT</w:t>
      </w:r>
    </w:p>
    <w:p>
      <w:pPr>
        <w:spacing w:before="0" w:after="320"/>
        <w:pBdr>
          <w:bottom w:val="single" w:sz="24" w:space="5" w:color="00A7A7"/>
        </w:pBdr>
      </w:pPr>
      <w:r>
        <w:rPr>
          <w:rFonts w:ascii="Arial" w:hAnsi="Arial"/>
          <w:b/>
          <w:color w:val="10243E"/>
          <w:sz w:val="60"/>
        </w:rPr>
        <w:t>MANAGEMENT</w:t>
      </w:r>
    </w:p>
    <w:tbl>
      <w:tblPr>
        <w:tblW w:type="auto" w:w="0"/>
        <w:jc w:val="left"/>
        <w:tblLayout w:type="fixed"/>
        <w:tblLook w:firstColumn="1" w:firstRow="1" w:lastColumn="0" w:lastRow="0" w:noHBand="0" w:noVBand="1" w:val="04A0"/>
      </w:tblPr>
      <w:tblGrid>
        <w:gridCol w:w="5040"/>
        <w:gridCol w:w="5040"/>
      </w:tblGrid>
      <w:tr>
        <w:tc>
          <w:tcPr>
            <w:tcW w:type="dxa" w:w="2088"/>
            <w:shd w:fill="5A43D6"/>
            <w:vAlign w:val="center"/>
            <w:tcMar>
              <w:top w:w="180" w:type="dxa"/>
              <w:start w:w="190" w:type="dxa"/>
              <w:bottom w:w="180" w:type="dxa"/>
              <w:end w:w="190" w:type="dxa"/>
            </w:tcMar>
          </w:tcPr>
          <w:p>
            <w:pPr>
              <w:jc w:val="center"/>
            </w:pPr>
            <w:r>
              <w:rPr>
                <w:rFonts w:ascii="Arial" w:hAnsi="Arial"/>
                <w:b/>
                <w:color w:val="FFFFFF"/>
                <w:sz w:val="36"/>
              </w:rPr>
              <w:t>LECTURE</w:t>
              <w:br/>
              <w:t>01</w:t>
            </w:r>
          </w:p>
        </w:tc>
        <w:tc>
          <w:tcPr>
            <w:tcW w:type="dxa" w:w="7344"/>
            <w:shd w:fill="F3F6FA"/>
            <w:vAlign w:val="center"/>
            <w:tcMar>
              <w:top w:w="180" w:type="dxa"/>
              <w:start w:w="190" w:type="dxa"/>
              <w:bottom w:w="180" w:type="dxa"/>
              <w:end w:w="190" w:type="dxa"/>
            </w:tcMar>
          </w:tcPr>
          <w:p>
            <w:pPr>
              <w:spacing w:after="0"/>
            </w:pPr>
            <w:r>
              <w:rPr>
                <w:rFonts w:ascii="Arial" w:hAnsi="Arial"/>
                <w:b/>
                <w:color w:val="1B2638"/>
                <w:sz w:val="32"/>
              </w:rPr>
              <w:t>SOURCE DOCUMENT ASSESSMENT</w:t>
            </w:r>
          </w:p>
        </w:tc>
      </w:tr>
    </w:tbl>
    <w:p>
      <w:pPr>
        <w:spacing w:before="440" w:after="120"/>
      </w:pPr>
      <w:r>
        <w:rPr>
          <w:rFonts w:ascii="Arial" w:hAnsi="Arial"/>
          <w:b/>
          <w:color w:val="00A7A7"/>
          <w:sz w:val="19"/>
        </w:rPr>
        <w:t>COURSE POSITIONING</w:t>
      </w:r>
    </w:p>
    <w:p>
      <w:pPr>
        <w:spacing w:after="360"/>
      </w:pPr>
      <w:r>
        <w:rPr>
          <w:rFonts w:ascii="Arial" w:hAnsi="Arial"/>
          <w:color w:val="5C6B7A"/>
          <w:sz w:val="24"/>
        </w:rPr>
        <w:t>Strategy  |  Governance  |  Delivery  |  Measurement  |  Applied Learning</w:t>
      </w:r>
    </w:p>
    <w:tbl>
      <w:tblPr>
        <w:tblW w:type="auto" w:w="0"/>
        <w:jc w:val="left"/>
        <w:tblLayout w:type="fixed"/>
        <w:tblLook w:firstColumn="1" w:firstRow="1" w:lastColumn="0" w:lastRow="0" w:noHBand="0" w:noVBand="1" w:val="04A0"/>
      </w:tblPr>
      <w:tblGrid>
        <w:gridCol w:w="5040"/>
        <w:gridCol w:w="5040"/>
      </w:tblGrid>
      <w:tr>
        <w:tc>
          <w:tcPr>
            <w:tcW w:type="dxa" w:w="2088"/>
            <w:shd w:fill="10243E"/>
            <w:vAlign w:val="center"/>
            <w:tcMar>
              <w:top w:w="105" w:type="dxa"/>
              <w:start w:w="140" w:type="dxa"/>
              <w:bottom w:w="105" w:type="dxa"/>
              <w:end w:w="140" w:type="dxa"/>
            </w:tcMar>
          </w:tcPr>
          <w:p>
            <w:r>
              <w:rPr>
                <w:rFonts w:ascii="Arial" w:hAnsi="Arial"/>
                <w:b/>
                <w:color w:val="FFFFFF"/>
                <w:sz w:val="17"/>
              </w:rPr>
              <w:t>PREPARED FOR</w:t>
            </w:r>
          </w:p>
        </w:tc>
        <w:tc>
          <w:tcPr>
            <w:tcW w:type="dxa" w:w="7344"/>
            <w:shd w:fill="FFFFFF"/>
            <w:vAlign w:val="center"/>
            <w:tcMar>
              <w:top w:w="105" w:type="dxa"/>
              <w:start w:w="140" w:type="dxa"/>
              <w:bottom w:w="105" w:type="dxa"/>
              <w:end w:w="140" w:type="dxa"/>
            </w:tcMar>
          </w:tcPr>
          <w:p>
            <w:r>
              <w:rPr>
                <w:rFonts w:ascii="Arial" w:hAnsi="Arial"/>
                <w:color w:val="1B2638"/>
                <w:sz w:val="19"/>
              </w:rPr>
              <w:t>Ahmed Labib</w:t>
            </w:r>
          </w:p>
        </w:tc>
      </w:tr>
      <w:tr>
        <w:tc>
          <w:tcPr>
            <w:tcW w:type="dxa" w:w="2088"/>
            <w:shd w:fill="10243E"/>
            <w:vAlign w:val="center"/>
            <w:tcMar>
              <w:top w:w="105" w:type="dxa"/>
              <w:start w:w="140" w:type="dxa"/>
              <w:bottom w:w="105" w:type="dxa"/>
              <w:end w:w="140" w:type="dxa"/>
            </w:tcMar>
          </w:tcPr>
          <w:p>
            <w:r>
              <w:rPr>
                <w:rFonts w:ascii="Arial" w:hAnsi="Arial"/>
                <w:b/>
                <w:color w:val="FFFFFF"/>
                <w:sz w:val="17"/>
              </w:rPr>
              <w:t>EDITION</w:t>
            </w:r>
          </w:p>
        </w:tc>
        <w:tc>
          <w:tcPr>
            <w:tcW w:type="dxa" w:w="7344"/>
            <w:shd w:fill="F3F6FA"/>
            <w:vAlign w:val="center"/>
            <w:tcMar>
              <w:top w:w="105" w:type="dxa"/>
              <w:start w:w="140" w:type="dxa"/>
              <w:bottom w:w="105" w:type="dxa"/>
              <w:end w:w="140" w:type="dxa"/>
            </w:tcMar>
          </w:tcPr>
          <w:p>
            <w:r>
              <w:rPr>
                <w:rFonts w:ascii="Arial" w:hAnsi="Arial"/>
                <w:color w:val="1B2638"/>
                <w:sz w:val="19"/>
              </w:rPr>
              <w:t>Lecture-Based Professional Course</w:t>
            </w:r>
          </w:p>
        </w:tc>
      </w:tr>
      <w:tr>
        <w:tc>
          <w:tcPr>
            <w:tcW w:type="dxa" w:w="2088"/>
            <w:shd w:fill="10243E"/>
            <w:vAlign w:val="center"/>
            <w:tcMar>
              <w:top w:w="105" w:type="dxa"/>
              <w:start w:w="140" w:type="dxa"/>
              <w:bottom w:w="105" w:type="dxa"/>
              <w:end w:w="140" w:type="dxa"/>
            </w:tcMar>
          </w:tcPr>
          <w:p>
            <w:r>
              <w:rPr>
                <w:rFonts w:ascii="Arial" w:hAnsi="Arial"/>
                <w:b/>
                <w:color w:val="FFFFFF"/>
                <w:sz w:val="17"/>
              </w:rPr>
              <w:t>ISSUE DATE</w:t>
            </w:r>
          </w:p>
        </w:tc>
        <w:tc>
          <w:tcPr>
            <w:tcW w:type="dxa" w:w="7344"/>
            <w:shd w:fill="FFFFFF"/>
            <w:vAlign w:val="center"/>
            <w:tcMar>
              <w:top w:w="105" w:type="dxa"/>
              <w:start w:w="140" w:type="dxa"/>
              <w:bottom w:w="105" w:type="dxa"/>
              <w:end w:w="140" w:type="dxa"/>
            </w:tcMar>
          </w:tcPr>
          <w:p>
            <w:r>
              <w:rPr>
                <w:rFonts w:ascii="Arial" w:hAnsi="Arial"/>
                <w:color w:val="1B2638"/>
                <w:sz w:val="19"/>
              </w:rPr>
              <w:t>July 2026</w:t>
            </w:r>
          </w:p>
        </w:tc>
      </w:tr>
    </w:tbl>
    <w:p>
      <w:pPr>
        <w:spacing w:before="480" w:after="0"/>
      </w:pPr>
      <w:r>
        <w:rPr>
          <w:rFonts w:ascii="Arial" w:hAnsi="Arial"/>
          <w:i/>
          <w:color w:val="5C6B7A"/>
          <w:sz w:val="18"/>
        </w:rPr>
        <w:t>A standalone lecture from the premium Marketing Project Management professional course.</w:t>
      </w:r>
    </w:p>
    <w:p>
      <w:pPr>
        <w:spacing w:before="160" w:after="0"/>
      </w:pPr>
      <w:r>
        <w:rPr>
          <w:rFonts w:ascii="Arial" w:hAnsi="Arial"/>
          <w:b/>
          <w:color w:val="5A43D6"/>
          <w:sz w:val="17"/>
        </w:rPr>
        <w:t>CONFIDENTIAL  |  PROFESSIONAL LEARNING MATERIAL</w:t>
      </w:r>
    </w:p>
    <w:p>
      <w:pPr>
        <w:spacing w:after="0"/>
      </w:pPr>
      <w:r>
        <w:br w:type="page"/>
      </w:r>
    </w:p>
    <w:p>
      <w:pPr>
        <w:pStyle w:val="Heading1"/>
        <w:keepNext/>
        <w:pageBreakBefore w:val="0"/>
        <w:widowControl/>
        <w:spacing w:before="0" w:after="80"/>
      </w:pPr>
      <w:r>
        <w:rPr>
          <w:rFonts w:ascii="Inter" w:hAnsi="Inter"/>
          <w:b/>
          <w:color w:val="365F91"/>
          <w:sz w:val="28"/>
        </w:rPr>
        <w:t>LECTURE 01  |  SOURCE DOCUMENT ASSESSMENT</w:t>
      </w:r>
    </w:p>
    <w:tbl>
      <w:tblPr>
        <w:tblW w:type="auto" w:w="0"/>
        <w:jc w:val="center"/>
        <w:tblLook w:firstColumn="1" w:firstRow="1" w:lastColumn="0" w:lastRow="0" w:noHBand="0" w:noVBand="1" w:val="04A0"/>
      </w:tblPr>
      <w:tblGrid>
        <w:gridCol w:w="9936"/>
      </w:tblGrid>
      <w:tr>
        <w:tc>
          <w:tcPr>
            <w:tcW w:type="dxa" w:w="9936"/>
            <w:shd w:fill="6C4CF1"/>
            <w:tcMar>
              <w:top w:w="0" w:type="dxa"/>
              <w:start w:w="0" w:type="dxa"/>
              <w:bottom w:w="0" w:type="dxa"/>
              <w:end w:w="0" w:type="dxa"/>
            </w:tcMar>
          </w:tcPr>
          <w:p>
            <w:pPr>
              <w:spacing w:after="0" w:before="0"/>
            </w:pPr>
          </w:p>
        </w:tc>
      </w:tr>
    </w:tbl>
    <w:p>
      <w:pPr>
        <w:widowControl/>
        <w:spacing w:before="140" w:after="240"/>
      </w:pPr>
      <w:r>
        <w:rPr>
          <w:rFonts w:ascii="Inter" w:hAnsi="Inter"/>
          <w:i/>
          <w:color w:val="66758C"/>
          <w:sz w:val="20"/>
        </w:rPr>
        <w:t>Reconstructing the attachment and separating valid guidance from vendor promotion</w:t>
      </w:r>
    </w:p>
    <w:tbl>
      <w:tblPr>
        <w:tblW w:type="auto" w:w="0"/>
        <w:jc w:val="center"/>
        <w:tblLayout w:type="fixed"/>
        <w:tblLook w:firstColumn="1" w:firstRow="1" w:lastColumn="0" w:lastRow="0" w:noHBand="0" w:noVBand="1" w:val="04A0"/>
        <w:tblLayout w:type="fixed"/>
      </w:tblPr>
      <w:tblGrid>
        <w:gridCol w:w="2088"/>
        <w:gridCol w:w="7992"/>
      </w:tblGrid>
      <w:tr>
        <w:trPr>
          <w:tblHeader w:val="true"/>
        </w:trPr>
        <w:tc>
          <w:tcPr>
            <w:tcW w:type="dxa" w:w="9936"/>
            <w:gridSpan w:val="2"/>
            <w:shd w:fill="172B57"/>
            <w:tcMar>
              <w:top w:w="100" w:type="dxa"/>
              <w:start w:w="140" w:type="dxa"/>
              <w:bottom w:w="100" w:type="dxa"/>
              <w:end w:w="140" w:type="dxa"/>
            </w:tcMar>
          </w:tcPr>
          <w:p>
            <w:pPr>
              <w:spacing w:after="0"/>
            </w:pPr>
            <w:r>
              <w:rPr>
                <w:rFonts w:ascii="Inter" w:hAnsi="Inter"/>
                <w:b/>
                <w:i w:val="0"/>
                <w:color w:val="FFFFFF"/>
                <w:sz w:val="21"/>
              </w:rPr>
              <w:t>LECTURE 01 BRIEF  |  90 MINUTES</w:t>
            </w:r>
          </w:p>
        </w:tc>
      </w:tr>
      <w:tr>
        <w:trPr>
          <w:cantSplit/>
        </w:trPr>
        <w:tc>
          <w:tcPr>
            <w:tcW w:type="dxa" w:w="4968"/>
            <w:shd w:fill="EAF3FA"/>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LEARNING OUTCOMES</w:t>
            </w:r>
          </w:p>
        </w:tc>
        <w:tc>
          <w:tcPr>
            <w:tcW w:type="dxa" w:w="4968"/>
            <w:shd w:fill="FFFFFF"/>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val="0"/>
                <w:color w:val="172033"/>
                <w:sz w:val="18"/>
              </w:rPr>
              <w:t>1. Distinguish operational guidance, evidence-backed claims and vendor-led promotion.</w:t>
            </w:r>
            <w:r>
              <w:br/>
            </w:r>
            <w:r>
              <w:rPr>
                <w:rFonts w:ascii="Inter" w:hAnsi="Inter"/>
                <w:b w:val="0"/>
                <w:color w:val="172033"/>
                <w:sz w:val="18"/>
              </w:rPr>
              <w:t>2. Audit quantitative claims for source quality, context, relevance and decision useability.</w:t>
            </w:r>
            <w:r>
              <w:br/>
            </w:r>
            <w:r>
              <w:rPr>
                <w:rFonts w:ascii="Inter" w:hAnsi="Inter"/>
                <w:b w:val="0"/>
                <w:color w:val="172033"/>
                <w:sz w:val="18"/>
              </w:rPr>
              <w:t>3. Establish evidence rules for executive papers, business cases and procurement decisions.</w:t>
            </w:r>
          </w:p>
        </w:tc>
      </w:tr>
      <w:tr>
        <w:trPr>
          <w:cantSplit/>
        </w:trPr>
        <w:tc>
          <w:tcPr>
            <w:tcW w:type="dxa" w:w="4968"/>
            <w:shd w:fill="EAF3FA"/>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SESSION FLOW</w:t>
            </w:r>
          </w:p>
        </w:tc>
        <w:tc>
          <w:tcPr>
            <w:tcW w:type="dxa" w:w="4968"/>
            <w:shd w:fill="FFFFFF"/>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val="0"/>
                <w:color w:val="172033"/>
                <w:sz w:val="18"/>
              </w:rPr>
              <w:t>10 min framing  |  25 min source reconstruction  |  25 min evidence audit  |  20 min workshop  |  10 min review</w:t>
            </w:r>
          </w:p>
        </w:tc>
      </w:tr>
      <w:tr>
        <w:trPr>
          <w:cantSplit/>
        </w:trPr>
        <w:tc>
          <w:tcPr>
            <w:tcW w:type="dxa" w:w="4968"/>
            <w:shd w:fill="EAF3FA"/>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APPLIED OUTPUT</w:t>
            </w:r>
          </w:p>
        </w:tc>
        <w:tc>
          <w:tcPr>
            <w:tcW w:type="dxa" w:w="4968"/>
            <w:shd w:fill="FFFFFF"/>
            <w:tcMar>
              <w:top w:w="105" w:type="dxa"/>
              <w:start w:w="125" w:type="dxa"/>
              <w:bottom w:w="105" w:type="dxa"/>
              <w:end w:w="125" w:type="dxa"/>
            </w:tcMar>
            <w:vAlign w:val="center"/>
            <w:tcBorders>
              <w:top w:val="single" w:sz="6" w:color="B8CBE0"/>
              <w:left w:val="single" w:sz="6" w:color="B8CBE0"/>
              <w:bottom w:val="single" w:sz="6" w:color="B8CBE0"/>
              <w:right w:val="single" w:sz="6" w:color="B8CBE0"/>
            </w:tcBorders>
          </w:tcPr>
          <w:p>
            <w:pPr>
              <w:spacing w:after="0"/>
            </w:pPr>
            <w:r>
              <w:rPr>
                <w:rFonts w:ascii="Inter" w:hAnsi="Inter"/>
                <w:b/>
                <w:color w:val="172033"/>
                <w:sz w:val="18"/>
              </w:rPr>
              <w:t>One-page source integrity and evidence assessment.</w:t>
            </w:r>
          </w:p>
        </w:tc>
      </w:tr>
    </w:tbl>
    <w:p/>
    <w:p>
      <w:pPr>
        <w:pStyle w:val="Heading2"/>
        <w:keepNext/>
        <w:widowControl/>
        <w:spacing w:before="240" w:after="100"/>
      </w:pPr>
      <w:r>
        <w:rPr>
          <w:rFonts w:ascii="Inter" w:hAnsi="Inter"/>
          <w:b/>
          <w:color w:val="0B1739"/>
          <w:sz w:val="28"/>
        </w:rPr>
        <w:t>1.1 Structural reconstruction</w:t>
      </w:r>
    </w:p>
    <w:p>
      <w:pPr>
        <w:pStyle w:val="BodyText"/>
        <w:widowControl/>
        <w:spacing w:after="120" w:line="259" w:lineRule="auto"/>
        <w:jc w:val="both"/>
      </w:pPr>
      <w:r>
        <w:rPr>
          <w:rFonts w:ascii="Inter" w:hAnsi="Inter"/>
          <w:color w:val="172033"/>
          <w:sz w:val="20"/>
        </w:rPr>
        <w:t>The attachment follows a clear educational-to-commercial sequence: definition, examples, benefits, recurring challenges, project lifecycle phases, communication, tool categories, a dedicated Productive recommendation and closing best practices. The screenshots reinforce the narrative through workload boards, profitability views, project progress reports, documentation screens and task views. [S1]</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2088"/>
            <w:shd w:fill="0B1739"/>
            <w:tcMar>
              <w:top w:w="100" w:type="dxa"/>
              <w:start w:w="80" w:type="dxa"/>
              <w:bottom w:w="100" w:type="dxa"/>
              <w:end w:w="80" w:type="dxa"/>
            </w:tcMar>
          </w:tcPr>
          <w:p>
            <w:pPr>
              <w:spacing w:after="0"/>
              <w:jc w:val="left"/>
            </w:pPr>
            <w:r>
              <w:rPr>
                <w:rFonts w:ascii="Inter" w:hAnsi="Inter"/>
                <w:b/>
                <w:color w:val="FFFFFF"/>
                <w:sz w:val="16"/>
              </w:rPr>
              <w:t>Source component</w:t>
            </w:r>
          </w:p>
        </w:tc>
        <w:tc>
          <w:tcPr>
            <w:tcW w:type="dxa" w:w="3528"/>
            <w:shd w:fill="0B1739"/>
            <w:tcMar>
              <w:top w:w="100" w:type="dxa"/>
              <w:start w:w="80" w:type="dxa"/>
              <w:bottom w:w="100" w:type="dxa"/>
              <w:end w:w="80" w:type="dxa"/>
            </w:tcMar>
          </w:tcPr>
          <w:p>
            <w:pPr>
              <w:spacing w:after="0"/>
              <w:jc w:val="left"/>
            </w:pPr>
            <w:r>
              <w:rPr>
                <w:rFonts w:ascii="Inter" w:hAnsi="Inter"/>
                <w:b/>
                <w:color w:val="FFFFFF"/>
                <w:sz w:val="16"/>
              </w:rPr>
              <w:t>What it contributes</w:t>
            </w:r>
          </w:p>
        </w:tc>
        <w:tc>
          <w:tcPr>
            <w:tcW w:type="dxa" w:w="3600"/>
            <w:shd w:fill="0B1739"/>
            <w:tcMar>
              <w:top w:w="100" w:type="dxa"/>
              <w:start w:w="80" w:type="dxa"/>
              <w:bottom w:w="100" w:type="dxa"/>
              <w:end w:w="80" w:type="dxa"/>
            </w:tcMar>
          </w:tcPr>
          <w:p>
            <w:pPr>
              <w:spacing w:after="0"/>
              <w:jc w:val="left"/>
            </w:pPr>
            <w:r>
              <w:rPr>
                <w:rFonts w:ascii="Inter" w:hAnsi="Inter"/>
                <w:b/>
                <w:color w:val="FFFFFF"/>
                <w:sz w:val="16"/>
              </w:rPr>
              <w:t>Critical assessment</w:t>
            </w:r>
          </w:p>
        </w:tc>
      </w:tr>
      <w:tr>
        <w:trPr>
          <w:cantSplit/>
        </w:trPr>
        <w:tc>
          <w:tcPr>
            <w:tcW w:type="dxa" w:w="208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Definition and examples</w:t>
            </w:r>
          </w:p>
        </w:tc>
        <w:tc>
          <w:tcPr>
            <w:tcW w:type="dxa" w:w="352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Frames product launches, social campaigns, content, email, SEO, paid advertising, research and website improvement as projects.</w:t>
            </w:r>
          </w:p>
        </w:tc>
        <w:tc>
          <w:tcPr>
            <w:tcW w:type="dxa" w:w="360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Useful and accessible; lacks segmentation by complexity and operating context.</w:t>
            </w:r>
          </w:p>
        </w:tc>
      </w:tr>
      <w:tr>
        <w:trPr>
          <w:cantSplit/>
        </w:trPr>
        <w:tc>
          <w:tcPr>
            <w:tcW w:type="dxa" w:w="208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Benefits</w:t>
            </w:r>
          </w:p>
        </w:tc>
        <w:tc>
          <w:tcPr>
            <w:tcW w:type="dxa" w:w="352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Highlights workflow efficiency, engagement, financial control, risk visibility, transparency and collaboration.</w:t>
            </w:r>
          </w:p>
        </w:tc>
        <w:tc>
          <w:tcPr>
            <w:tcW w:type="dxa" w:w="360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Directionally sound; causality and evidence quality are not fully demonstrated.</w:t>
            </w:r>
          </w:p>
        </w:tc>
      </w:tr>
      <w:tr>
        <w:trPr>
          <w:cantSplit/>
        </w:trPr>
        <w:tc>
          <w:tcPr>
            <w:tcW w:type="dxa" w:w="208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Challenges</w:t>
            </w:r>
          </w:p>
        </w:tc>
        <w:tc>
          <w:tcPr>
            <w:tcW w:type="dxa" w:w="352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Addresses resource efficiency, strategic alignment, scope creep and delivery dates.</w:t>
            </w:r>
          </w:p>
        </w:tc>
        <w:tc>
          <w:tcPr>
            <w:tcW w:type="dxa" w:w="360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Strong practical content; should include prioritization and demand-management failure modes.</w:t>
            </w:r>
          </w:p>
        </w:tc>
      </w:tr>
      <w:tr>
        <w:trPr>
          <w:cantSplit/>
        </w:trPr>
        <w:tc>
          <w:tcPr>
            <w:tcW w:type="dxa" w:w="208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Lifecycle phases</w:t>
            </w:r>
          </w:p>
        </w:tc>
        <w:tc>
          <w:tcPr>
            <w:tcW w:type="dxa" w:w="352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Covers planning, realistic deadlines, performance monitoring, capacity and risk.</w:t>
            </w:r>
          </w:p>
        </w:tc>
        <w:tc>
          <w:tcPr>
            <w:tcW w:type="dxa" w:w="360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Good backbone; missing benefits realization, compliance and controlled closure.</w:t>
            </w:r>
          </w:p>
        </w:tc>
      </w:tr>
      <w:tr>
        <w:trPr>
          <w:cantSplit/>
        </w:trPr>
        <w:tc>
          <w:tcPr>
            <w:tcW w:type="dxa" w:w="208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Tool taxonomy</w:t>
            </w:r>
          </w:p>
        </w:tc>
        <w:tc>
          <w:tcPr>
            <w:tcW w:type="dxa" w:w="352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Distinguishes task tools, integrated agency tools and marketing suites.</w:t>
            </w:r>
          </w:p>
        </w:tc>
        <w:tc>
          <w:tcPr>
            <w:tcW w:type="dxa" w:w="360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Helpful, but product categories and decision criteria are simplified.</w:t>
            </w:r>
          </w:p>
        </w:tc>
      </w:tr>
      <w:tr>
        <w:trPr>
          <w:cantSplit/>
        </w:trPr>
        <w:tc>
          <w:tcPr>
            <w:tcW w:type="dxa" w:w="208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Productive promotion</w:t>
            </w:r>
          </w:p>
        </w:tc>
        <w:tc>
          <w:tcPr>
            <w:tcW w:type="dxa" w:w="3528"/>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Positions Productive as the best all-in-one platform.</w:t>
            </w:r>
          </w:p>
        </w:tc>
        <w:tc>
          <w:tcPr>
            <w:tcW w:type="dxa" w:w="360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Commercial conclusion requires independent evaluation and total-cost analysis.</w:t>
            </w:r>
          </w:p>
        </w:tc>
      </w:tr>
      <w:tr>
        <w:trPr>
          <w:cantSplit/>
        </w:trPr>
        <w:tc>
          <w:tcPr>
            <w:tcW w:type="dxa" w:w="208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Best practices</w:t>
            </w:r>
          </w:p>
        </w:tc>
        <w:tc>
          <w:tcPr>
            <w:tcW w:type="dxa" w:w="3528"/>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Stakeholder buy-in, skills, post-mortems and tool rationalization.</w:t>
            </w:r>
          </w:p>
        </w:tc>
        <w:tc>
          <w:tcPr>
            <w:tcW w:type="dxa" w:w="360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Useful; should be expanded into formal governance and maturity practices.</w:t>
            </w:r>
          </w:p>
        </w:tc>
      </w:tr>
    </w:tbl>
    <w:p>
      <w:pPr>
        <w:widowControl/>
        <w:spacing w:after="0"/>
      </w:pPr>
    </w:p>
    <w:p>
      <w:pPr>
        <w:pStyle w:val="Heading2"/>
        <w:keepNext/>
        <w:widowControl/>
        <w:spacing w:before="240" w:after="100"/>
      </w:pPr>
      <w:r>
        <w:rPr>
          <w:rFonts w:ascii="Inter" w:hAnsi="Inter"/>
          <w:b/>
          <w:color w:val="0B1739"/>
          <w:sz w:val="28"/>
        </w:rPr>
        <w:t>1.2 Quantitative claims audit</w:t>
      </w:r>
    </w:p>
    <w:p>
      <w:pPr>
        <w:pStyle w:val="BodyText"/>
        <w:widowControl/>
        <w:spacing w:after="120" w:line="259" w:lineRule="auto"/>
        <w:jc w:val="both"/>
      </w:pPr>
      <w:r>
        <w:rPr>
          <w:rFonts w:ascii="Inter" w:hAnsi="Inter"/>
          <w:color w:val="172033"/>
          <w:sz w:val="20"/>
        </w:rPr>
        <w:t>The source includes multiple numerical claims. Because the attachment does not consistently provide full study designs, sample definitions, dates and limitations, the figures should not be treated as universal benchmarks. The audit below records how they should be used in management decision-making. [S1]</w:t>
      </w:r>
    </w:p>
    <w:tbl>
      <w:tblPr>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3600"/>
            <w:shd w:fill="0B1739"/>
            <w:tcMar>
              <w:top w:w="100" w:type="dxa"/>
              <w:start w:w="80" w:type="dxa"/>
              <w:bottom w:w="100" w:type="dxa"/>
              <w:end w:w="80" w:type="dxa"/>
            </w:tcMar>
          </w:tcPr>
          <w:p>
            <w:pPr>
              <w:spacing w:after="0"/>
              <w:jc w:val="left"/>
            </w:pPr>
            <w:r>
              <w:rPr>
                <w:rFonts w:ascii="Inter" w:hAnsi="Inter"/>
                <w:b/>
                <w:color w:val="FFFFFF"/>
                <w:sz w:val="16"/>
              </w:rPr>
              <w:t>Claim reported in source</w:t>
            </w:r>
          </w:p>
        </w:tc>
        <w:tc>
          <w:tcPr>
            <w:tcW w:type="dxa" w:w="1944"/>
            <w:shd w:fill="0B1739"/>
            <w:tcMar>
              <w:top w:w="100" w:type="dxa"/>
              <w:start w:w="80" w:type="dxa"/>
              <w:bottom w:w="100" w:type="dxa"/>
              <w:end w:w="80" w:type="dxa"/>
            </w:tcMar>
          </w:tcPr>
          <w:p>
            <w:pPr>
              <w:spacing w:after="0"/>
              <w:jc w:val="left"/>
            </w:pPr>
            <w:r>
              <w:rPr>
                <w:rFonts w:ascii="Inter" w:hAnsi="Inter"/>
                <w:b/>
                <w:color w:val="FFFFFF"/>
                <w:sz w:val="16"/>
              </w:rPr>
              <w:t>Useability</w:t>
            </w:r>
          </w:p>
        </w:tc>
        <w:tc>
          <w:tcPr>
            <w:tcW w:type="dxa" w:w="3672"/>
            <w:shd w:fill="0B1739"/>
            <w:tcMar>
              <w:top w:w="100" w:type="dxa"/>
              <w:start w:w="80" w:type="dxa"/>
              <w:bottom w:w="100" w:type="dxa"/>
              <w:end w:w="80" w:type="dxa"/>
            </w:tcMar>
          </w:tcPr>
          <w:p>
            <w:pPr>
              <w:spacing w:after="0"/>
              <w:jc w:val="left"/>
            </w:pPr>
            <w:r>
              <w:rPr>
                <w:rFonts w:ascii="Inter" w:hAnsi="Inter"/>
                <w:b/>
                <w:color w:val="FFFFFF"/>
                <w:sz w:val="16"/>
              </w:rPr>
              <w:t>Recommended treatment</w:t>
            </w:r>
          </w:p>
        </w:tc>
      </w:tr>
      <w:tr>
        <w:trPr>
          <w:cantSplit/>
        </w:trPr>
        <w:tc>
          <w:tcPr>
            <w:tcW w:type="dxa" w:w="360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Organized marketers are 649% more likely to report success.</w:t>
            </w:r>
          </w:p>
        </w:tc>
        <w:tc>
          <w:tcPr>
            <w:tcW w:type="dxa" w:w="19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Contextual only</w:t>
            </w:r>
          </w:p>
        </w:tc>
        <w:tc>
          <w:tcPr>
            <w:tcW w:type="dxa" w:w="367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Use as an advocacy signal; obtain the original CoSchedule methodology before quoting in a board paper.</w:t>
            </w:r>
          </w:p>
        </w:tc>
      </w:tr>
      <w:tr>
        <w:trPr>
          <w:cantSplit/>
        </w:trPr>
        <w:tc>
          <w:tcPr>
            <w:tcW w:type="dxa" w:w="360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47% of agencies lack a fully defined digital strategy.</w:t>
            </w:r>
          </w:p>
        </w:tc>
        <w:tc>
          <w:tcPr>
            <w:tcW w:type="dxa" w:w="194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Contextual only</w:t>
            </w:r>
          </w:p>
        </w:tc>
        <w:tc>
          <w:tcPr>
            <w:tcW w:type="dxa" w:w="367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Validate sector, geography, company size and survey year.</w:t>
            </w:r>
          </w:p>
        </w:tc>
      </w:tr>
      <w:tr>
        <w:trPr>
          <w:cantSplit/>
        </w:trPr>
        <w:tc>
          <w:tcPr>
            <w:tcW w:type="dxa" w:w="360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31% of project managers report unrealistic deadlines.</w:t>
            </w:r>
          </w:p>
        </w:tc>
        <w:tc>
          <w:tcPr>
            <w:tcW w:type="dxa" w:w="19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Contextual only</w:t>
            </w:r>
          </w:p>
        </w:tc>
        <w:tc>
          <w:tcPr>
            <w:tcW w:type="dxa" w:w="367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Use to justify estimation controls, not as a local benchmark.</w:t>
            </w:r>
          </w:p>
        </w:tc>
      </w:tr>
      <w:tr>
        <w:trPr>
          <w:cantSplit/>
        </w:trPr>
        <w:tc>
          <w:tcPr>
            <w:tcW w:type="dxa" w:w="360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Marketing plans commonly take 8–12 weeks.</w:t>
            </w:r>
          </w:p>
        </w:tc>
        <w:tc>
          <w:tcPr>
            <w:tcW w:type="dxa" w:w="194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Low transferability</w:t>
            </w:r>
          </w:p>
        </w:tc>
        <w:tc>
          <w:tcPr>
            <w:tcW w:type="dxa" w:w="367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Replace with historical throughput by campaign archetype and complexity.</w:t>
            </w:r>
          </w:p>
        </w:tc>
      </w:tr>
      <w:tr>
        <w:trPr>
          <w:cantSplit/>
        </w:trPr>
        <w:tc>
          <w:tcPr>
            <w:tcW w:type="dxa" w:w="360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Project managers may lead 2–10 projects simultaneously.</w:t>
            </w:r>
          </w:p>
        </w:tc>
        <w:tc>
          <w:tcPr>
            <w:tcW w:type="dxa" w:w="19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Highly context-dependent</w:t>
            </w:r>
          </w:p>
        </w:tc>
        <w:tc>
          <w:tcPr>
            <w:tcW w:type="dxa" w:w="367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Use capacity units and complexity-weighted workload, not project counts alone.</w:t>
            </w:r>
          </w:p>
        </w:tc>
      </w:tr>
      <w:tr>
        <w:trPr>
          <w:cantSplit/>
        </w:trPr>
        <w:tc>
          <w:tcPr>
            <w:tcW w:type="dxa" w:w="3600"/>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86% link failures to collaboration or communication.</w:t>
            </w:r>
          </w:p>
        </w:tc>
        <w:tc>
          <w:tcPr>
            <w:tcW w:type="dxa" w:w="1944"/>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Contextual only</w:t>
            </w:r>
          </w:p>
        </w:tc>
        <w:tc>
          <w:tcPr>
            <w:tcW w:type="dxa" w:w="3672"/>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Use as a risk theme; define local root-cause data.</w:t>
            </w:r>
          </w:p>
        </w:tc>
      </w:tr>
      <w:tr>
        <w:trPr>
          <w:cantSplit/>
        </w:trPr>
        <w:tc>
          <w:tcPr>
            <w:tcW w:type="dxa" w:w="3600"/>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color w:val="172033"/>
                <w:sz w:val="16"/>
              </w:rPr>
              <w:t>37% report too many digital tools.</w:t>
            </w:r>
          </w:p>
        </w:tc>
        <w:tc>
          <w:tcPr>
            <w:tcW w:type="dxa" w:w="1944"/>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Contextual only</w:t>
            </w:r>
          </w:p>
        </w:tc>
        <w:tc>
          <w:tcPr>
            <w:tcW w:type="dxa" w:w="3672"/>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6"/>
              </w:rPr>
              <w:t>Perform an internal tool inventory and workflow-friction analysis.</w:t>
            </w:r>
          </w:p>
        </w:tc>
      </w:tr>
    </w:tbl>
    <w:p>
      <w:pPr>
        <w:widowControl/>
        <w:spacing w:after="0"/>
      </w:pPr>
    </w:p>
    <w:tbl>
      <w:tblPr>
        <w:tblW w:type="auto" w:w="0"/>
        <w:jc w:val="center"/>
        <w:tblLayout w:type="fixed"/>
        <w:tblLook w:firstColumn="1" w:firstRow="1" w:lastColumn="0" w:lastRow="0" w:noHBand="0" w:noVBand="1" w:val="04A0"/>
      </w:tblPr>
      <w:tblGrid>
        <w:gridCol w:w="202"/>
        <w:gridCol w:w="9014"/>
      </w:tblGrid>
      <w:tr>
        <w:tc>
          <w:tcPr>
            <w:tcW w:type="dxa" w:w="4968"/>
            <w:shd w:fill="00B8D9"/>
            <w:tcMar>
              <w:top w:w="130" w:type="dxa"/>
              <w:start w:w="130" w:type="dxa"/>
              <w:bottom w:w="130" w:type="dxa"/>
              <w:end w:w="130" w:type="dxa"/>
            </w:tcMar>
            <w:tcBorders>
              <w:top w:val="nil"/>
              <w:left w:val="nil"/>
              <w:bottom w:val="nil"/>
              <w:right w:val="nil"/>
            </w:tcBorders>
          </w:tcPr>
          <w:p/>
        </w:tc>
        <w:tc>
          <w:tcPr>
            <w:tcW w:type="dxa" w:w="4968"/>
            <w:shd w:fill="E7F9FC"/>
            <w:tcMar>
              <w:top w:w="130" w:type="dxa"/>
              <w:start w:w="130" w:type="dxa"/>
              <w:bottom w:w="130" w:type="dxa"/>
              <w:end w:w="130" w:type="dxa"/>
            </w:tcMar>
            <w:tcBorders>
              <w:top w:val="nil"/>
              <w:left w:val="nil"/>
              <w:bottom w:val="nil"/>
              <w:right w:val="nil"/>
            </w:tcBorders>
          </w:tcPr>
          <w:p>
            <w:pPr>
              <w:spacing w:after="40"/>
            </w:pPr>
            <w:r>
              <w:rPr>
                <w:rFonts w:ascii="Inter" w:hAnsi="Inter"/>
                <w:b/>
                <w:color w:val="00B8D9"/>
                <w:sz w:val="18"/>
              </w:rPr>
              <w:t>DECISION RULE</w:t>
            </w:r>
          </w:p>
          <w:p>
            <w:pPr>
              <w:spacing w:after="0" w:line="250" w:lineRule="auto"/>
            </w:pPr>
            <w:r>
              <w:rPr>
                <w:rFonts w:ascii="Inter" w:hAnsi="Inter"/>
                <w:color w:val="172033"/>
                <w:sz w:val="19"/>
              </w:rPr>
              <w:t>No external benchmark should replace the organization’s own historical actuals, campaign archetypes, channel economics and resource productivity data.</w:t>
            </w:r>
          </w:p>
        </w:tc>
      </w:tr>
    </w:tbl>
    <w:p>
      <w:pPr>
        <w:widowControl/>
        <w:spacing w:after="0"/>
      </w:pPr>
    </w:p>
    <w:p>
      <w:pPr>
        <w:pStyle w:val="Heading2"/>
        <w:keepNext/>
        <w:widowControl/>
        <w:spacing w:before="240" w:after="100"/>
      </w:pPr>
      <w:r>
        <w:rPr>
          <w:rFonts w:ascii="Inter" w:hAnsi="Inter"/>
          <w:b/>
          <w:color w:val="0B1739"/>
          <w:sz w:val="28"/>
        </w:rPr>
        <w:t>1.3 Strengths, limitations and implications</w:t>
      </w:r>
    </w:p>
    <w:tbl>
      <w:tblPr>
        <w:tblW w:type="auto" w:w="0"/>
        <w:jc w:val="center"/>
        <w:tblLayout w:type="fixed"/>
        <w:tblLook w:firstColumn="1" w:firstRow="1" w:lastColumn="0" w:lastRow="0" w:noHBand="0" w:noVBand="1" w:val="04A0"/>
      </w:tblPr>
      <w:tblGrid>
        <w:gridCol w:w="4968"/>
        <w:gridCol w:w="4968"/>
      </w:tblGrid>
      <w:tr>
        <w:trPr>
          <w:tblHeader w:val="true"/>
          <w:cantSplit/>
        </w:trPr>
        <w:tc>
          <w:tcPr>
            <w:tcW w:type="dxa" w:w="4536"/>
            <w:shd w:fill="0B1739"/>
            <w:tcMar>
              <w:top w:w="100" w:type="dxa"/>
              <w:start w:w="80" w:type="dxa"/>
              <w:bottom w:w="100" w:type="dxa"/>
              <w:end w:w="80" w:type="dxa"/>
            </w:tcMar>
          </w:tcPr>
          <w:p>
            <w:pPr>
              <w:spacing w:after="0"/>
              <w:jc w:val="left"/>
            </w:pPr>
            <w:r>
              <w:rPr>
                <w:rFonts w:ascii="Inter" w:hAnsi="Inter"/>
                <w:b/>
                <w:color w:val="FFFFFF"/>
                <w:sz w:val="16"/>
              </w:rPr>
              <w:t>Strengths to retain</w:t>
            </w:r>
          </w:p>
        </w:tc>
        <w:tc>
          <w:tcPr>
            <w:tcW w:type="dxa" w:w="4536"/>
            <w:shd w:fill="0B1739"/>
            <w:tcMar>
              <w:top w:w="100" w:type="dxa"/>
              <w:start w:w="80" w:type="dxa"/>
              <w:bottom w:w="100" w:type="dxa"/>
              <w:end w:w="80" w:type="dxa"/>
            </w:tcMar>
          </w:tcPr>
          <w:p>
            <w:pPr>
              <w:spacing w:after="0"/>
              <w:jc w:val="left"/>
            </w:pPr>
            <w:r>
              <w:rPr>
                <w:rFonts w:ascii="Inter" w:hAnsi="Inter"/>
                <w:b/>
                <w:color w:val="FFFFFF"/>
                <w:sz w:val="16"/>
              </w:rPr>
              <w:t>Limitations to correct</w:t>
            </w:r>
          </w:p>
        </w:tc>
      </w:tr>
      <w:tr>
        <w:trPr>
          <w:cantSplit/>
        </w:trPr>
        <w:tc>
          <w:tcPr>
            <w:tcW w:type="dxa" w:w="453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7"/>
              </w:rPr>
              <w:t>Clear explanation of marketing work as structured projects.</w:t>
            </w:r>
          </w:p>
        </w:tc>
        <w:tc>
          <w:tcPr>
            <w:tcW w:type="dxa" w:w="453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7"/>
              </w:rPr>
              <w:t>Promotional bias toward a single platform.</w:t>
            </w:r>
          </w:p>
        </w:tc>
      </w:tr>
      <w:tr>
        <w:trPr>
          <w:cantSplit/>
        </w:trPr>
        <w:tc>
          <w:tcPr>
            <w:tcW w:type="dxa" w:w="453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7"/>
              </w:rPr>
              <w:t>Strong emphasis on resource allocation and real-time visibility.</w:t>
            </w:r>
          </w:p>
        </w:tc>
        <w:tc>
          <w:tcPr>
            <w:tcW w:type="dxa" w:w="453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7"/>
              </w:rPr>
              <w:t>No formal portfolio prioritization or demand governance.</w:t>
            </w:r>
          </w:p>
        </w:tc>
      </w:tr>
      <w:tr>
        <w:trPr>
          <w:cantSplit/>
        </w:trPr>
        <w:tc>
          <w:tcPr>
            <w:tcW w:type="dxa" w:w="453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7"/>
              </w:rPr>
              <w:t>Practical scope-creep controls and documentation advice.</w:t>
            </w:r>
          </w:p>
        </w:tc>
        <w:tc>
          <w:tcPr>
            <w:tcW w:type="dxa" w:w="453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7"/>
              </w:rPr>
              <w:t>Insufficient measurement architecture and attribution design.</w:t>
            </w:r>
          </w:p>
        </w:tc>
      </w:tr>
      <w:tr>
        <w:trPr>
          <w:cantSplit/>
        </w:trPr>
        <w:tc>
          <w:tcPr>
            <w:tcW w:type="dxa" w:w="453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7"/>
              </w:rPr>
              <w:t>Recognition of cross-functional dependencies.</w:t>
            </w:r>
          </w:p>
        </w:tc>
        <w:tc>
          <w:tcPr>
            <w:tcW w:type="dxa" w:w="453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7"/>
              </w:rPr>
              <w:t>Limited privacy, disclosure, security and records-management controls.</w:t>
            </w:r>
          </w:p>
        </w:tc>
      </w:tr>
      <w:tr>
        <w:trPr>
          <w:cantSplit/>
        </w:trPr>
        <w:tc>
          <w:tcPr>
            <w:tcW w:type="dxa" w:w="453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7"/>
              </w:rPr>
              <w:t>Post-mortem learning and skills development.</w:t>
            </w:r>
          </w:p>
        </w:tc>
        <w:tc>
          <w:tcPr>
            <w:tcW w:type="dxa" w:w="4536"/>
            <w:shd w:fill="FFFFFF"/>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7"/>
              </w:rPr>
              <w:t>AI writing tools are referenced without governance requirements.</w:t>
            </w:r>
          </w:p>
        </w:tc>
      </w:tr>
      <w:tr>
        <w:trPr>
          <w:cantSplit/>
        </w:trPr>
        <w:tc>
          <w:tcPr>
            <w:tcW w:type="dxa" w:w="453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7"/>
              </w:rPr>
              <w:t>Unified data and workflow principle.</w:t>
            </w:r>
          </w:p>
        </w:tc>
        <w:tc>
          <w:tcPr>
            <w:tcW w:type="dxa" w:w="4536"/>
            <w:shd w:fill="F2F5FA"/>
            <w:tcMar>
              <w:top w:w="80" w:type="dxa"/>
              <w:start w:w="75" w:type="dxa"/>
              <w:bottom w:w="80" w:type="dxa"/>
              <w:end w:w="75" w:type="dxa"/>
            </w:tcMar>
            <w:tcBorders>
              <w:top w:val="single" w:sz="4" w:color="D9DFEA"/>
              <w:left w:val="single" w:sz="4" w:color="D9DFEA"/>
              <w:bottom w:val="single" w:sz="4" w:color="D9DFEA"/>
              <w:right w:val="single" w:sz="4" w:color="D9DFEA"/>
            </w:tcBorders>
          </w:tcPr>
          <w:p>
            <w:pPr>
              <w:spacing w:after="0" w:line="240" w:lineRule="auto"/>
            </w:pPr>
            <w:r>
              <w:rPr>
                <w:rFonts w:ascii="Inter" w:hAnsi="Inter"/>
                <w:b w:val="0"/>
                <w:color w:val="172033"/>
                <w:sz w:val="17"/>
              </w:rPr>
              <w:t>Insufficient distinction between agencies and in-house marketing teams.</w:t>
            </w:r>
          </w:p>
        </w:tc>
      </w:tr>
    </w:tbl>
    <w:p>
      <w:pPr>
        <w:widowControl/>
        <w:spacing w:after="0"/>
      </w:pPr>
    </w:p>
    <w:p>
      <w:pPr>
        <w:pStyle w:val="Heading2"/>
        <w:keepNext/>
        <w:spacing w:before="240" w:after="100"/>
      </w:pPr>
      <w:r>
        <w:t>Applied learning and assessment</w:t>
      </w:r>
    </w:p>
    <w:tbl>
      <w:tblPr>
        <w:tblW w:type="auto" w:w="0"/>
        <w:jc w:val="center"/>
        <w:tblLayout w:type="fixed"/>
        <w:tblLook w:firstColumn="1" w:firstRow="1" w:lastColumn="0" w:lastRow="0" w:noHBand="0" w:noVBand="1" w:val="04A0"/>
        <w:tblLayout w:type="fixed"/>
      </w:tblPr>
      <w:tblGrid>
        <w:gridCol w:w="2088"/>
        <w:gridCol w:w="7992"/>
      </w:tblGrid>
      <w:tr>
        <w:trPr>
          <w:tblHeader w:val="true"/>
        </w:trPr>
        <w:tc>
          <w:tcPr>
            <w:tcW w:type="dxa" w:w="9936"/>
            <w:gridSpan w:val="2"/>
            <w:shd w:fill="365F91"/>
            <w:tcMar>
              <w:top w:w="90" w:type="dxa"/>
              <w:start w:w="130" w:type="dxa"/>
              <w:bottom w:w="90" w:type="dxa"/>
              <w:end w:w="130" w:type="dxa"/>
            </w:tcMar>
          </w:tcPr>
          <w:p>
            <w:pPr>
              <w:spacing w:after="0"/>
            </w:pPr>
            <w:r>
              <w:rPr>
                <w:rFonts w:ascii="Inter" w:hAnsi="Inter"/>
                <w:b/>
                <w:i w:val="0"/>
                <w:color w:val="FFFFFF"/>
                <w:sz w:val="20"/>
              </w:rPr>
              <w:t>LECTURE 01 APPLICATION</w:t>
            </w:r>
          </w:p>
        </w:tc>
      </w:tr>
      <w:tr>
        <w:trPr>
          <w:cantSplit/>
        </w:trPr>
        <w:tc>
          <w:tcPr>
            <w:tcW w:type="dxa" w:w="4968"/>
            <w:shd w:fill="EAF3FA"/>
            <w:tcMar>
              <w:top w:w="105" w:type="dxa"/>
              <w:start w:w="125" w:type="dxa"/>
              <w:bottom w:w="105" w:type="dxa"/>
              <w:end w:w="125" w:type="dxa"/>
            </w:tcMar>
            <w:vAlign w:val="top"/>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APPLIED WORKSHOP</w:t>
            </w:r>
          </w:p>
        </w:tc>
        <w:tc>
          <w:tcPr>
            <w:tcW w:type="dxa" w:w="4968"/>
            <w:shd w:fill="F5F8FC"/>
            <w:tcMar>
              <w:top w:w="105" w:type="dxa"/>
              <w:start w:w="125" w:type="dxa"/>
              <w:bottom w:w="105" w:type="dxa"/>
              <w:end w:w="125" w:type="dxa"/>
            </w:tcMar>
            <w:vAlign w:val="top"/>
            <w:tcBorders>
              <w:top w:val="single" w:sz="6" w:color="B8CBE0"/>
              <w:left w:val="single" w:sz="6" w:color="B8CBE0"/>
              <w:bottom w:val="single" w:sz="6" w:color="B8CBE0"/>
              <w:right w:val="single" w:sz="6" w:color="B8CBE0"/>
            </w:tcBorders>
          </w:tcPr>
          <w:p>
            <w:pPr>
              <w:spacing w:after="0"/>
            </w:pPr>
            <w:r>
              <w:rPr>
                <w:rFonts w:ascii="Inter" w:hAnsi="Inter"/>
                <w:color w:val="172033"/>
                <w:sz w:val="18"/>
              </w:rPr>
              <w:t>Select one quantitative or product-related claim from the source. Classify it as decision-grade, contextual only or unverified; document the rationale, evidence gap and recommended management treatment.</w:t>
            </w:r>
          </w:p>
        </w:tc>
      </w:tr>
      <w:tr>
        <w:trPr>
          <w:cantSplit/>
        </w:trPr>
        <w:tc>
          <w:tcPr>
            <w:tcW w:type="dxa" w:w="4968"/>
            <w:shd w:fill="EAF3FA"/>
            <w:tcMar>
              <w:top w:w="105" w:type="dxa"/>
              <w:start w:w="125" w:type="dxa"/>
              <w:bottom w:w="105" w:type="dxa"/>
              <w:end w:w="125" w:type="dxa"/>
            </w:tcMar>
            <w:vAlign w:val="top"/>
            <w:tcBorders>
              <w:top w:val="single" w:sz="6" w:color="B8CBE0"/>
              <w:left w:val="single" w:sz="6" w:color="B8CBE0"/>
              <w:bottom w:val="single" w:sz="6" w:color="B8CBE0"/>
              <w:right w:val="single" w:sz="6" w:color="B8CBE0"/>
            </w:tcBorders>
          </w:tcPr>
          <w:p>
            <w:pPr>
              <w:spacing w:after="0"/>
            </w:pPr>
            <w:r>
              <w:rPr>
                <w:rFonts w:ascii="Inter" w:hAnsi="Inter"/>
                <w:b/>
                <w:i w:val="0"/>
                <w:color w:val="365F91"/>
                <w:sz w:val="17"/>
              </w:rPr>
              <w:t>KNOWLEDGE CHECK</w:t>
            </w:r>
          </w:p>
        </w:tc>
        <w:tc>
          <w:tcPr>
            <w:tcW w:type="dxa" w:w="4968"/>
            <w:shd w:fill="F5F8FC"/>
            <w:tcMar>
              <w:top w:w="105" w:type="dxa"/>
              <w:start w:w="125" w:type="dxa"/>
              <w:bottom w:w="105" w:type="dxa"/>
              <w:end w:w="125" w:type="dxa"/>
            </w:tcMar>
            <w:vAlign w:val="top"/>
            <w:tcBorders>
              <w:top w:val="single" w:sz="6" w:color="B8CBE0"/>
              <w:left w:val="single" w:sz="6" w:color="B8CBE0"/>
              <w:bottom w:val="single" w:sz="6" w:color="B8CBE0"/>
              <w:right w:val="single" w:sz="6" w:color="B8CBE0"/>
            </w:tcBorders>
          </w:tcPr>
          <w:p>
            <w:pPr>
              <w:spacing w:after="0"/>
            </w:pPr>
            <w:r>
              <w:rPr>
                <w:rFonts w:ascii="Inter" w:hAnsi="Inter"/>
                <w:color w:val="172033"/>
                <w:sz w:val="18"/>
              </w:rPr>
              <w:t>1. Which characteristics make a source vendor-led rather than independent?</w:t>
            </w:r>
            <w:r>
              <w:br/>
            </w:r>
            <w:r>
              <w:rPr>
                <w:rFonts w:ascii="Inter" w:hAnsi="Inter"/>
                <w:color w:val="172033"/>
                <w:sz w:val="18"/>
              </w:rPr>
              <w:t>2. When can a weak external benchmark still be useful?</w:t>
            </w:r>
            <w:r>
              <w:br/>
            </w:r>
            <w:r>
              <w:rPr>
                <w:rFonts w:ascii="Inter" w:hAnsi="Inter"/>
                <w:color w:val="172033"/>
                <w:sz w:val="18"/>
              </w:rPr>
              <w:t>3. What minimum evidence should support a board-level recommendation?</w:t>
            </w:r>
          </w:p>
        </w:tc>
      </w:tr>
    </w:tbl>
    <w:sectPr w:rsidR="00FC693F" w:rsidRPr="0006063C" w:rsidSect="00034616">
      <w:headerReference w:type="default" r:id="rId10"/>
      <w:footerReference w:type="default" r:id="rId11"/>
      <w:pgSz w:w="12240" w:h="15840"/>
      <w:pgMar w:top="1008" w:right="1080" w:bottom="936" w:left="1080" w:header="360" w:footer="40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5C6B7A"/>
        <w:sz w:val="15"/>
      </w:rPr>
      <w:t>Prepared for Ahmed Labib  |  July 2026</w:t>
    </w:r>
  </w:p>
  <w:tbl>
    <w:tblPr>
      <w:tblW w:type="auto" w:w="0"/>
      <w:jc w:val="center"/>
      <w:tblLayout w:type="fixed"/>
      <w:tblLook w:firstColumn="1" w:firstRow="1" w:lastColumn="0" w:lastRow="0" w:noHBand="0" w:noVBand="1" w:val="04A0"/>
    </w:tblPr>
    <w:tblGrid>
      <w:gridCol w:w="3216"/>
      <w:gridCol w:w="3216"/>
      <w:gridCol w:w="3216"/>
    </w:tblGrid>
    <w:tr>
      <w:tc>
        <w:tcPr>
          <w:tcW w:type="dxa" w:w="3216"/>
          <w:tcMar>
            <w:top w:w="30" w:type="dxa"/>
            <w:start w:w="0" w:type="dxa"/>
            <w:bottom w:w="0" w:type="dxa"/>
            <w:end w:w="0" w:type="dxa"/>
          </w:tcMar>
          <w:tcBorders>
            <w:top w:val="single" w:sz="6" w:color="D9DFEA"/>
          </w:tcBorders>
        </w:tcPr>
        <w:p>
          <w:r>
            <w:rPr>
              <w:rFonts w:ascii="Inter" w:hAnsi="Inter"/>
              <w:color w:val="5E687B"/>
              <w:sz w:val="16"/>
            </w:rPr>
            <w:t>Ahmed Labib</w:t>
          </w:r>
        </w:p>
      </w:tc>
      <w:tc>
        <w:tcPr>
          <w:tcW w:type="dxa" w:w="3216"/>
          <w:tcMar>
            <w:top w:w="30" w:type="dxa"/>
            <w:start w:w="0" w:type="dxa"/>
            <w:bottom w:w="0" w:type="dxa"/>
            <w:end w:w="0" w:type="dxa"/>
          </w:tcMar>
          <w:tcBorders>
            <w:top w:val="single" w:sz="6" w:color="D9DFEA"/>
          </w:tcBorders>
        </w:tcPr>
        <w:p>
          <w:pPr>
            <w:jc w:val="center"/>
          </w:pPr>
          <w:r>
            <w:rPr>
              <w:rFonts w:ascii="Inter" w:hAnsi="Inter"/>
              <w:b/>
              <w:color w:val="6C4CF1"/>
              <w:sz w:val="16"/>
            </w:rPr>
            <w:t>CONFIDENTIAL</w:t>
          </w:r>
        </w:p>
      </w:tc>
      <w:tc>
        <w:tcPr>
          <w:tcW w:type="dxa" w:w="3216"/>
          <w:tcMar>
            <w:top w:w="30" w:type="dxa"/>
            <w:start w:w="0" w:type="dxa"/>
            <w:bottom w:w="0" w:type="dxa"/>
            <w:end w:w="0" w:type="dxa"/>
          </w:tcMar>
          <w:tcBorders>
            <w:top w:val="single" w:sz="6" w:color="D9DFEA"/>
          </w:tcBorders>
        </w:tcPr>
        <w:p>
          <w:pPr>
            <w:jc w:val="right"/>
          </w:pPr>
          <w:r>
            <w:rPr>
              <w:rFonts w:ascii="Inter" w:hAnsi="Inter"/>
              <w:color w:val="5E687B"/>
              <w:sz w:val="18"/>
            </w:rPr>
            <w:fldChar w:fldCharType="begin"/>
            <w:instrText xml:space="preserve"> PAGE </w:instrText>
            <w:fldChar w:fldCharType="end"/>
          </w:r>
        </w:p>
      </w:tc>
    </w:tr>
  </w:tbl>
  <w:p>
    <w:pPr>
      <w:jc w:val="right"/>
    </w:pPr>
    <w:r>
      <w:rPr>
        <w:color w:val="5C6B7A"/>
        <w:sz w:val="17"/>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D9E2EC"/>
      </w:pBdr>
    </w:pPr>
    <w:r>
      <w:rPr>
        <w:rFonts w:ascii="Arial" w:hAnsi="Arial"/>
        <w:b/>
        <w:color w:val="5C6B7A"/>
        <w:sz w:val="15"/>
      </w:rPr>
      <w:t>MARKETING PROJECT MANAGEMENT  |  LECTURE 01</w:t>
    </w:r>
  </w:p>
  <w:tbl>
    <w:tblPr>
      <w:tblW w:type="auto" w:w="0"/>
      <w:jc w:val="center"/>
      <w:tblLayout w:type="fixed"/>
      <w:tblLook w:firstColumn="1" w:firstRow="1" w:lastColumn="0" w:lastRow="0" w:noHBand="0" w:noVBand="1" w:val="04A0"/>
    </w:tblPr>
    <w:tblGrid>
      <w:gridCol w:w="6912"/>
      <w:gridCol w:w="2736"/>
    </w:tblGrid>
    <w:tr>
      <w:tc>
        <w:tcPr>
          <w:tcW w:type="dxa" w:w="4824"/>
          <w:tcMar>
            <w:top w:w="20" w:type="dxa"/>
            <w:start w:w="0" w:type="dxa"/>
            <w:bottom w:w="30" w:type="dxa"/>
            <w:end w:w="0" w:type="dxa"/>
          </w:tcMar>
          <w:tcBorders>
            <w:bottom w:val="single" w:sz="10" w:color="6C4CF1"/>
          </w:tcBorders>
        </w:tcPr>
        <w:p>
          <w:pPr>
            <w:spacing w:after="0"/>
          </w:pPr>
          <w:r>
            <w:rPr>
              <w:rFonts w:ascii="Inter" w:hAnsi="Inter"/>
              <w:b/>
              <w:i w:val="0"/>
              <w:color w:val="365F91"/>
              <w:sz w:val="16"/>
            </w:rPr>
            <w:t>MARKETING PROJECT MANAGEMENT COURSE</w:t>
          </w:r>
        </w:p>
      </w:tc>
      <w:tc>
        <w:tcPr>
          <w:tcW w:type="dxa" w:w="4824"/>
          <w:tcMar>
            <w:top w:w="20" w:type="dxa"/>
            <w:start w:w="0" w:type="dxa"/>
            <w:bottom w:w="30" w:type="dxa"/>
            <w:end w:w="0" w:type="dxa"/>
          </w:tcMar>
          <w:tcBorders>
            <w:bottom w:val="single" w:sz="10" w:color="6C4CF1"/>
          </w:tcBorders>
        </w:tcPr>
        <w:p>
          <w:pPr>
            <w:spacing w:after="0"/>
            <w:jc w:val="right"/>
          </w:pPr>
          <w:r>
            <w:rPr>
              <w:rFonts w:ascii="Inter" w:hAnsi="Inter"/>
              <w:b/>
              <w:i w:val="0"/>
              <w:color w:val="365F91"/>
              <w:sz w:val="16"/>
            </w:rPr>
            <w:t>13-LECTURE PROFESSIONAL EDITION</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Inter" w:hAnsi="Inter"/>
      <w:color w:val="1720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Inter" w:hAnsi="Inter"/>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Inter" w:hAnsi="Inte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Inter" w:hAnsi="Inter"/>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Inter" w:hAnsi="Inter"/>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Inter" w:hAnsi="Inter"/>
      <w:sz w:val="20"/>
    </w:rPr>
  </w:style>
  <w:style w:type="paragraph" w:styleId="ListBullet2">
    <w:name w:val="List Bullet 2"/>
    <w:basedOn w:val="Normal"/>
    <w:uiPriority w:val="99"/>
    <w:unhideWhenUsed/>
    <w:rsid w:val="00326F90"/>
    <w:pPr>
      <w:numPr>
        <w:numId w:val="2"/>
      </w:numPr>
      <w:contextualSpacing/>
    </w:pPr>
    <w:rPr>
      <w:rFonts w:ascii="Inter" w:hAnsi="Inter"/>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Inter" w:hAnsi="Inter"/>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www.nist.gov/itl/ai-risk-management-framework" TargetMode="External"/><Relationship Id="rId17" Type="http://schemas.openxmlformats.org/officeDocument/2006/relationships/hyperlink" Target="https://support.google.com/analytics/answer/12966437?hl=en" TargetMode="External"/><Relationship Id="rId18" Type="http://schemas.openxmlformats.org/officeDocument/2006/relationships/hyperlink" Target="https://www.ftc.gov/business-guidance/resources/disclosures-101-social-media-influencers" TargetMode="External"/><Relationship Id="rId19" Type="http://schemas.openxmlformats.org/officeDocument/2006/relationships/hyperlink" Target="https://arxiv.org/abs/1901.05771" TargetMode="External"/><Relationship Id="rId20" Type="http://schemas.openxmlformats.org/officeDocument/2006/relationships/hyperlink" Target="https://arxiv.org/abs/2412.02041" TargetMode="External"/><Relationship Id="rId21" Type="http://schemas.openxmlformats.org/officeDocument/2006/relationships/hyperlink" Target="https://arxiv.org/abs/2203.00430" TargetMode="External"/><Relationship Id="rId22" Type="http://schemas.openxmlformats.org/officeDocument/2006/relationships/hyperlink" Target="https://arxiv.org/abs/1911.09964" TargetMode="External"/><Relationship Id="rId23" Type="http://schemas.openxmlformats.org/officeDocument/2006/relationships/hyperlink" Target="https://arxiv.org/abs/2605.14021" TargetMode="External"/><Relationship Id="rId2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Lecture 01 - Source Document Assessment</dc:title>
  <dc:subject>Marketing Project Management Professional Course</dc:subject>
  <dc:creator>Ahmed Labib</dc:creator>
  <cp:keywords>marketing project management, governance, course, lecture</cp:keywords>
  <dc:description>Standalone lecture extracted from the premium professional course manual.</dc:description>
  <cp:lastModifiedBy/>
  <cp:revision>1</cp:revision>
  <dcterms:created xsi:type="dcterms:W3CDTF">2013-12-23T23:15:00Z</dcterms:created>
  <dcterms:modified xsi:type="dcterms:W3CDTF">2013-12-23T23:15:00Z</dcterms:modified>
  <cp:category/>
</cp:coreProperties>
</file>