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02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MARKETING PROJECT MANAGEMENT FUNDAMENTALS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02  |  MARKETING PROJECT MANAGEMENT FUNDAMENTALS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Turning marketing intent into controlled, measurable value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02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Define marketing project management as a governed value-delivery discipline.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Classify common marketing project archetypes and their complexity drivers.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Connect lifecycle stages, success dimensions and project-control requirements.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definition  |  25 min project archetypes  |  25 min lifecycle and controls  |  20 min case exercise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Marketing project archetype and success-criteria profile.</w:t>
            </w:r>
          </w:p>
        </w:tc>
      </w:tr>
    </w:tbl>
    <w:p/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2.1 Working definition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Marketing project management is the disciplined conversion of a defined marketing objective into an approved scope of work, a time-phased delivery plan, an accountable cross-functional team, a controlled budget, a measurement architecture and a documented decision trail. A marketing project is complete only when outputs are delivered, performance is assessed and lessons are captured—not merely when content is published.</w:t>
      </w: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2.2 Marketing project archetypes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80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Archetype</w:t>
            </w:r>
          </w:p>
        </w:tc>
        <w:tc>
          <w:tcPr>
            <w:tcW w:type="dxa" w:w="19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Primary objective</w:t>
            </w:r>
          </w:p>
        </w:tc>
        <w:tc>
          <w:tcPr>
            <w:tcW w:type="dxa" w:w="273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Typical complexity drivers</w:t>
            </w:r>
          </w:p>
        </w:tc>
        <w:tc>
          <w:tcPr>
            <w:tcW w:type="dxa" w:w="273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Core deliverables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Product launch</w:t>
            </w:r>
          </w:p>
        </w:tc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Awareness, adoption and commercial readiness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Product dependencies, market timing, legal claims, channel coordination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Launch plan, messaging, landing pages, enablement, media assets, performance dashboard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Integrated campaign</w:t>
            </w:r>
          </w:p>
        </w:tc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Demand generation or brand activation</w:t>
            </w:r>
          </w:p>
        </w:tc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Multiple channels, creative variants, data tagging, approvals</w:t>
            </w:r>
          </w:p>
        </w:tc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Brief, media plan, content, automations, tracking plan, campaign report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Content / SEO program</w:t>
            </w:r>
          </w:p>
        </w:tc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Organic visibility and audience authority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Editorial capacity, search volatility, technical dependencies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Topic strategy, briefs, content calendar, technical actions, content performance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Lifecycle / email</w:t>
            </w:r>
          </w:p>
        </w:tc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Nurture, conversion, retention or reactivation</w:t>
            </w:r>
          </w:p>
        </w:tc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Segmentation, data quality, consent, automation logic</w:t>
            </w:r>
          </w:p>
        </w:tc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Journey map, segments, email sequence, tests, conversion report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Brand refresh</w:t>
            </w:r>
          </w:p>
        </w:tc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Repositioning and visual consistency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Stakeholder alignment, research, change adoption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Brand strategy, identity system, guidelines, rollout plan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Event / experience</w:t>
            </w:r>
          </w:p>
        </w:tc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Attendance, engagement, pipeline or advocacy</w:t>
            </w:r>
          </w:p>
        </w:tc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Vendors, venue, speakers, logistics, sponsorship, safety</w:t>
            </w:r>
          </w:p>
        </w:tc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Event plan, promotional assets, runbook, attendee data, post-event analysis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Marketing technology</w:t>
            </w:r>
          </w:p>
        </w:tc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Capability, automation or data improvement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Integration, privacy, migration, training and adoption</w:t>
            </w:r>
          </w:p>
        </w:tc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Requirements, configuration, testing, migration, governance, training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2.3 Success dimensions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A modern marketing project should be evaluated across five dimensions. Optimizing only delivery efficiency can create campaigns that are on time and on budget but commercially ineffective; optimizing only performance can conceal uncontrolled rework, compliance exposure or unsustainable resource loading.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858"/>
            <w:shd w:fill="F2F5FA"/>
            <w:tcMar>
              <w:top w:w="85" w:type="dxa"/>
              <w:start w:w="75" w:type="dxa"/>
              <w:bottom w:w="85" w:type="dxa"/>
              <w:end w:w="75" w:type="dxa"/>
            </w:tcMar>
            <w:tcBorders>
              <w:top w:val="single" w:sz="16" w:color="6C4CF1"/>
              <w:left w:val="single" w:sz="6" w:color="D9DFEA"/>
              <w:bottom w:val="single" w:sz="6" w:color="D9DFEA"/>
              <w:right w:val="single" w:sz="6" w:color="D9DFEA"/>
            </w:tcBorders>
          </w:tcPr>
          <w:p>
            <w:pPr>
              <w:spacing w:after="80"/>
              <w:jc w:val="center"/>
            </w:pPr>
            <w:r>
              <w:rPr>
                <w:rFonts w:ascii="Inter" w:hAnsi="Inter"/>
                <w:b/>
                <w:color w:val="6C4CF1"/>
                <w:sz w:val="36"/>
              </w:rPr>
              <w:t>Value</w:t>
            </w:r>
          </w:p>
          <w:p>
            <w:pPr>
              <w:spacing w:after="40"/>
              <w:jc w:val="center"/>
            </w:pPr>
            <w:r>
              <w:rPr>
                <w:rFonts w:ascii="Inter" w:hAnsi="Inter"/>
                <w:b/>
                <w:color w:val="0B1739"/>
                <w:sz w:val="15"/>
              </w:rPr>
              <w:t>OUTCOME</w:t>
            </w:r>
          </w:p>
          <w:p>
            <w:pPr>
              <w:spacing w:after="0"/>
              <w:jc w:val="center"/>
            </w:pPr>
            <w:r>
              <w:rPr>
                <w:rFonts w:ascii="Inter" w:hAnsi="Inter"/>
                <w:color w:val="5E687B"/>
                <w:sz w:val="14"/>
              </w:rPr>
              <w:t>Commercial and customer impact</w:t>
            </w:r>
          </w:p>
        </w:tc>
        <w:tc>
          <w:tcPr>
            <w:tcW w:type="dxa" w:w="1858"/>
            <w:shd w:fill="F2F5FA"/>
            <w:tcMar>
              <w:top w:w="85" w:type="dxa"/>
              <w:start w:w="75" w:type="dxa"/>
              <w:bottom w:w="85" w:type="dxa"/>
              <w:end w:w="75" w:type="dxa"/>
            </w:tcMar>
            <w:tcBorders>
              <w:top w:val="single" w:sz="16" w:color="00B8D9"/>
              <w:left w:val="single" w:sz="6" w:color="D9DFEA"/>
              <w:bottom w:val="single" w:sz="6" w:color="D9DFEA"/>
              <w:right w:val="single" w:sz="6" w:color="D9DFEA"/>
            </w:tcBorders>
          </w:tcPr>
          <w:p>
            <w:pPr>
              <w:spacing w:after="80"/>
              <w:jc w:val="center"/>
            </w:pPr>
            <w:r>
              <w:rPr>
                <w:rFonts w:ascii="Inter" w:hAnsi="Inter"/>
                <w:b/>
                <w:color w:val="00B8D9"/>
                <w:sz w:val="36"/>
              </w:rPr>
              <w:t>Delivery</w:t>
            </w:r>
          </w:p>
          <w:p>
            <w:pPr>
              <w:spacing w:after="40"/>
              <w:jc w:val="center"/>
            </w:pPr>
            <w:r>
              <w:rPr>
                <w:rFonts w:ascii="Inter" w:hAnsi="Inter"/>
                <w:b/>
                <w:color w:val="0B1739"/>
                <w:sz w:val="15"/>
              </w:rPr>
              <w:t>CONTROL</w:t>
            </w:r>
          </w:p>
          <w:p>
            <w:pPr>
              <w:spacing w:after="0"/>
              <w:jc w:val="center"/>
            </w:pPr>
            <w:r>
              <w:rPr>
                <w:rFonts w:ascii="Inter" w:hAnsi="Inter"/>
                <w:color w:val="5E687B"/>
                <w:sz w:val="14"/>
              </w:rPr>
              <w:t>Scope, schedule and budget reliability</w:t>
            </w:r>
          </w:p>
        </w:tc>
        <w:tc>
          <w:tcPr>
            <w:tcW w:type="dxa" w:w="1858"/>
            <w:shd w:fill="F2F5FA"/>
            <w:tcMar>
              <w:top w:w="85" w:type="dxa"/>
              <w:start w:w="75" w:type="dxa"/>
              <w:bottom w:w="85" w:type="dxa"/>
              <w:end w:w="75" w:type="dxa"/>
            </w:tcMar>
            <w:tcBorders>
              <w:top w:val="single" w:sz="16" w:color="00A878"/>
              <w:left w:val="single" w:sz="6" w:color="D9DFEA"/>
              <w:bottom w:val="single" w:sz="6" w:color="D9DFEA"/>
              <w:right w:val="single" w:sz="6" w:color="D9DFEA"/>
            </w:tcBorders>
          </w:tcPr>
          <w:p>
            <w:pPr>
              <w:spacing w:after="80"/>
              <w:jc w:val="center"/>
            </w:pPr>
            <w:r>
              <w:rPr>
                <w:rFonts w:ascii="Inter" w:hAnsi="Inter"/>
                <w:b/>
                <w:color w:val="00A878"/>
                <w:sz w:val="36"/>
              </w:rPr>
              <w:t>Quality</w:t>
            </w:r>
          </w:p>
          <w:p>
            <w:pPr>
              <w:spacing w:after="40"/>
              <w:jc w:val="center"/>
            </w:pPr>
            <w:r>
              <w:rPr>
                <w:rFonts w:ascii="Inter" w:hAnsi="Inter"/>
                <w:b/>
                <w:color w:val="0B1739"/>
                <w:sz w:val="15"/>
              </w:rPr>
              <w:t>EFFECTIVENESS</w:t>
            </w:r>
          </w:p>
          <w:p>
            <w:pPr>
              <w:spacing w:after="0"/>
              <w:jc w:val="center"/>
            </w:pPr>
            <w:r>
              <w:rPr>
                <w:rFonts w:ascii="Inter" w:hAnsi="Inter"/>
                <w:color w:val="5E687B"/>
                <w:sz w:val="14"/>
              </w:rPr>
              <w:t>Creative, technical and data standards</w:t>
            </w:r>
          </w:p>
        </w:tc>
        <w:tc>
          <w:tcPr>
            <w:tcW w:type="dxa" w:w="1858"/>
            <w:shd w:fill="F2F5FA"/>
            <w:tcMar>
              <w:top w:w="85" w:type="dxa"/>
              <w:start w:w="75" w:type="dxa"/>
              <w:bottom w:w="85" w:type="dxa"/>
              <w:end w:w="75" w:type="dxa"/>
            </w:tcMar>
            <w:tcBorders>
              <w:top w:val="single" w:sz="16" w:color="F59E0B"/>
              <w:left w:val="single" w:sz="6" w:color="D9DFEA"/>
              <w:bottom w:val="single" w:sz="6" w:color="D9DFEA"/>
              <w:right w:val="single" w:sz="6" w:color="D9DFEA"/>
            </w:tcBorders>
          </w:tcPr>
          <w:p>
            <w:pPr>
              <w:spacing w:after="80"/>
              <w:jc w:val="center"/>
            </w:pPr>
            <w:r>
              <w:rPr>
                <w:rFonts w:ascii="Inter" w:hAnsi="Inter"/>
                <w:b/>
                <w:color w:val="F59E0B"/>
                <w:sz w:val="36"/>
              </w:rPr>
              <w:t>Risk</w:t>
            </w:r>
          </w:p>
          <w:p>
            <w:pPr>
              <w:spacing w:after="40"/>
              <w:jc w:val="center"/>
            </w:pPr>
            <w:r>
              <w:rPr>
                <w:rFonts w:ascii="Inter" w:hAnsi="Inter"/>
                <w:b/>
                <w:color w:val="0B1739"/>
                <w:sz w:val="15"/>
              </w:rPr>
              <w:t>ASSURANCE</w:t>
            </w:r>
          </w:p>
          <w:p>
            <w:pPr>
              <w:spacing w:after="0"/>
              <w:jc w:val="center"/>
            </w:pPr>
            <w:r>
              <w:rPr>
                <w:rFonts w:ascii="Inter" w:hAnsi="Inter"/>
                <w:color w:val="5E687B"/>
                <w:sz w:val="14"/>
              </w:rPr>
              <w:t>Compliance, brand and operational exposure</w:t>
            </w:r>
          </w:p>
        </w:tc>
        <w:tc>
          <w:tcPr>
            <w:tcW w:type="dxa" w:w="1858"/>
            <w:shd w:fill="F2F5FA"/>
            <w:tcMar>
              <w:top w:w="85" w:type="dxa"/>
              <w:start w:w="75" w:type="dxa"/>
              <w:bottom w:w="85" w:type="dxa"/>
              <w:end w:w="75" w:type="dxa"/>
            </w:tcMar>
            <w:tcBorders>
              <w:top w:val="single" w:sz="16" w:color="D9485F"/>
              <w:left w:val="single" w:sz="6" w:color="D9DFEA"/>
              <w:bottom w:val="single" w:sz="6" w:color="D9DFEA"/>
              <w:right w:val="single" w:sz="6" w:color="D9DFEA"/>
            </w:tcBorders>
          </w:tcPr>
          <w:p>
            <w:pPr>
              <w:spacing w:after="80"/>
              <w:jc w:val="center"/>
            </w:pPr>
            <w:r>
              <w:rPr>
                <w:rFonts w:ascii="Inter" w:hAnsi="Inter"/>
                <w:b/>
                <w:color w:val="D9485F"/>
                <w:sz w:val="36"/>
              </w:rPr>
              <w:t>Learning</w:t>
            </w:r>
          </w:p>
          <w:p>
            <w:pPr>
              <w:spacing w:after="40"/>
              <w:jc w:val="center"/>
            </w:pPr>
            <w:r>
              <w:rPr>
                <w:rFonts w:ascii="Inter" w:hAnsi="Inter"/>
                <w:b/>
                <w:color w:val="0B1739"/>
                <w:sz w:val="15"/>
              </w:rPr>
              <w:t>ADAPTATION</w:t>
            </w:r>
          </w:p>
          <w:p>
            <w:pPr>
              <w:spacing w:after="0"/>
              <w:jc w:val="center"/>
            </w:pPr>
            <w:r>
              <w:rPr>
                <w:rFonts w:ascii="Inter" w:hAnsi="Inter"/>
                <w:color w:val="5E687B"/>
                <w:sz w:val="14"/>
              </w:rPr>
              <w:t>Tests, insights and reusable knowledge</w:t>
            </w:r>
          </w:p>
        </w:tc>
      </w:tr>
    </w:tbl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2.4 Lifecycle and project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72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Lifecycle stage</w:t>
            </w:r>
          </w:p>
        </w:tc>
        <w:tc>
          <w:tcPr>
            <w:tcW w:type="dxa" w:w="37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Key management question</w:t>
            </w:r>
          </w:p>
        </w:tc>
        <w:tc>
          <w:tcPr>
            <w:tcW w:type="dxa" w:w="37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Minimum control artifact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Intake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Why should this project exist now?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Business case, project type, sponsor and prioritization score</w:t>
            </w:r>
          </w:p>
        </w:tc>
      </w:tr>
      <w:tr>
        <w:trPr>
          <w:cantSplit/>
        </w:trPr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Initiation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What is approved and who is accountable?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Project charter, stakeholders, high-level budget and success criteria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Planning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How will value be delivered and measured?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WBS, schedule, resource plan, risk register, measurement plan</w:t>
            </w:r>
          </w:p>
        </w:tc>
      </w:tr>
      <w:tr>
        <w:trPr>
          <w:cantSplit/>
        </w:trPr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Execution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Are teams producing approved deliverables?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Task workflow, quality checks, issue log, decisions and approvals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Monitoring and control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Are variance and risk within tolerance?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Status report, forecast, budget burn, change log, KPI dashboard</w:t>
            </w:r>
          </w:p>
        </w:tc>
      </w:tr>
      <w:tr>
        <w:trPr>
          <w:cantSplit/>
        </w:trPr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Launch / transition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Are release, compliance and operational-readiness criteria met?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Launch checklist, go/no-go approval, support plan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Closure and learning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What value was realized and what should change?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Post-mortem, benefits review, archive and reusable assets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02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Choose a product launch, campaign, content program or website initiative. Define its objective, deliverables, constraints, lifecycle, success dimensions and the minimum controls required to manage it.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What makes a marketing initiative a project rather than routine operations?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How do complexity drivers change the control approach?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Why must delivery success and business-outcome success be assessed separately?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02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02 - Marketing Project Management Fundamentals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