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5A43D6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00A7A7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  <w:tc>
          <w:tcPr>
            <w:tcW w:type="dxa" w:w="3168"/>
            <w:shd w:fill="F2B84B"/>
            <w:tcMar>
              <w:top w:w="35" w:type="dxa"/>
              <w:start w:w="0" w:type="dxa"/>
              <w:bottom w:w="35" w:type="dxa"/>
              <w:end w:w="0" w:type="dxa"/>
            </w:tcMar>
          </w:tcPr>
          <w:p>
            <w:r/>
          </w:p>
        </w:tc>
      </w:tr>
    </w:tbl>
    <w:p>
      <w:pPr>
        <w:spacing w:before="480" w:after="40"/>
      </w:pPr>
      <w:r>
        <w:rPr>
          <w:rFonts w:ascii="Arial" w:hAnsi="Arial"/>
          <w:b/>
          <w:color w:val="5A43D6"/>
          <w:sz w:val="20"/>
        </w:rPr>
        <w:t>PROFESSIONAL COURSE SERIES</w:t>
      </w:r>
    </w:p>
    <w:p>
      <w:pPr>
        <w:spacing w:before="40" w:after="0"/>
      </w:pPr>
      <w:r>
        <w:rPr>
          <w:rFonts w:ascii="Arial" w:hAnsi="Arial"/>
          <w:b/>
          <w:color w:val="10243E"/>
          <w:sz w:val="60"/>
        </w:rPr>
        <w:t>MARKETING PROJECT</w:t>
      </w:r>
    </w:p>
    <w:p>
      <w:pPr>
        <w:spacing w:before="0" w:after="320"/>
        <w:pBdr>
          <w:bottom w:val="single" w:sz="24" w:space="5" w:color="00A7A7"/>
        </w:pBdr>
      </w:pPr>
      <w:r>
        <w:rPr>
          <w:rFonts w:ascii="Arial" w:hAnsi="Arial"/>
          <w:b/>
          <w:color w:val="10243E"/>
          <w:sz w:val="60"/>
        </w:rPr>
        <w:t>MANAGEMENT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5A43D6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LECTURE</w:t>
              <w:br/>
              <w:t>03</w:t>
            </w:r>
          </w:p>
        </w:tc>
        <w:tc>
          <w:tcPr>
            <w:tcW w:type="dxa" w:w="7344"/>
            <w:shd w:fill="F3F6FA"/>
            <w:vAlign w:val="center"/>
            <w:tcMar>
              <w:top w:w="180" w:type="dxa"/>
              <w:start w:w="190" w:type="dxa"/>
              <w:bottom w:w="180" w:type="dxa"/>
              <w:end w:w="19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B2638"/>
                <w:sz w:val="32"/>
              </w:rPr>
              <w:t>GOVERNANCE AND STRATEGIC ALIGNMENT</w:t>
            </w:r>
          </w:p>
        </w:tc>
      </w:tr>
    </w:tbl>
    <w:p>
      <w:pPr>
        <w:spacing w:before="440" w:after="120"/>
      </w:pPr>
      <w:r>
        <w:rPr>
          <w:rFonts w:ascii="Arial" w:hAnsi="Arial"/>
          <w:b/>
          <w:color w:val="00A7A7"/>
          <w:sz w:val="19"/>
        </w:rPr>
        <w:t>COURSE POSITIONING</w:t>
      </w:r>
    </w:p>
    <w:p>
      <w:pPr>
        <w:spacing w:after="360"/>
      </w:pPr>
      <w:r>
        <w:rPr>
          <w:rFonts w:ascii="Arial" w:hAnsi="Arial"/>
          <w:color w:val="5C6B7A"/>
          <w:sz w:val="24"/>
        </w:rPr>
        <w:t>Strategy  |  Governance  |  Delivery  |  Measurement  |  Applied Learning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Ahmed Labib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EDITION</w:t>
            </w:r>
          </w:p>
        </w:tc>
        <w:tc>
          <w:tcPr>
            <w:tcW w:type="dxa" w:w="7344"/>
            <w:shd w:fill="F3F6FA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Lecture-Based Professional Course</w:t>
            </w:r>
          </w:p>
        </w:tc>
      </w:tr>
      <w:tr>
        <w:tc>
          <w:tcPr>
            <w:tcW w:type="dxa" w:w="2088"/>
            <w:shd w:fill="10243E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ISSUE DATE</w:t>
            </w:r>
          </w:p>
        </w:tc>
        <w:tc>
          <w:tcPr>
            <w:tcW w:type="dxa" w:w="7344"/>
            <w:shd w:fill="FFFFFF"/>
            <w:vAlign w:val="center"/>
            <w:tcMar>
              <w:top w:w="105" w:type="dxa"/>
              <w:start w:w="140" w:type="dxa"/>
              <w:bottom w:w="105" w:type="dxa"/>
              <w:end w:w="140" w:type="dxa"/>
            </w:tcMar>
          </w:tcPr>
          <w:p>
            <w:r>
              <w:rPr>
                <w:rFonts w:ascii="Arial" w:hAnsi="Arial"/>
                <w:color w:val="1B2638"/>
                <w:sz w:val="19"/>
              </w:rPr>
              <w:t>July 2026</w:t>
            </w:r>
          </w:p>
        </w:tc>
      </w:tr>
    </w:tbl>
    <w:p>
      <w:pPr>
        <w:spacing w:before="480" w:after="0"/>
      </w:pPr>
      <w:r>
        <w:rPr>
          <w:rFonts w:ascii="Arial" w:hAnsi="Arial"/>
          <w:i/>
          <w:color w:val="5C6B7A"/>
          <w:sz w:val="18"/>
        </w:rPr>
        <w:t>A standalone lecture from the premium Marketing Project Management professional course.</w:t>
      </w:r>
    </w:p>
    <w:p>
      <w:pPr>
        <w:spacing w:before="160" w:after="0"/>
      </w:pPr>
      <w:r>
        <w:rPr>
          <w:rFonts w:ascii="Arial" w:hAnsi="Arial"/>
          <w:b/>
          <w:color w:val="5A43D6"/>
          <w:sz w:val="17"/>
        </w:rPr>
        <w:t>CONFIDENTIAL  |  PROFESSIONAL LEARNING MATERIAL</w:t>
      </w:r>
    </w:p>
    <w:p>
      <w:pPr>
        <w:spacing w:after="0"/>
      </w:pPr>
      <w:r>
        <w:br w:type="page"/>
      </w:r>
    </w:p>
    <w:p>
      <w:pPr>
        <w:pStyle w:val="Heading1"/>
        <w:keepNext/>
        <w:pageBreakBefore w:val="0"/>
        <w:widowControl/>
        <w:spacing w:before="0" w:after="80"/>
      </w:pPr>
      <w:r>
        <w:rPr>
          <w:rFonts w:ascii="Inter" w:hAnsi="Inter"/>
          <w:b/>
          <w:color w:val="365F91"/>
          <w:sz w:val="28"/>
        </w:rPr>
        <w:t>LECTURE 03  |  GOVERNANCE AND STRATEGIC ALIGNMENT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6C4CF1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/>
            </w:pPr>
          </w:p>
        </w:tc>
      </w:tr>
    </w:tbl>
    <w:p>
      <w:pPr>
        <w:widowControl/>
        <w:spacing w:before="140" w:after="240"/>
      </w:pPr>
      <w:r>
        <w:rPr>
          <w:rFonts w:ascii="Inter" w:hAnsi="Inter"/>
          <w:i/>
          <w:color w:val="66758C"/>
          <w:sz w:val="20"/>
        </w:rPr>
        <w:t>Ensuring every project has a defensible purpose, owner and decision path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172B5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1"/>
              </w:rPr>
              <w:t>LECTURE 03 BRIEF  |  90 MINUTES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LEARNING OUTCOMES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1. Translate strategic objectives into governed marketing project demand.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2. Apply intake, prioritization and stage-gate criteria across a project portfolio.</w:t>
            </w:r>
            <w:r>
              <w:br/>
            </w:r>
            <w:r>
              <w:rPr>
                <w:rFonts w:ascii="Inter" w:hAnsi="Inter"/>
                <w:b w:val="0"/>
                <w:color w:val="172033"/>
                <w:sz w:val="18"/>
              </w:rPr>
              <w:t>3. Define decision rights, escalation paths and accountable ownership.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SESSION FLOW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 w:val="0"/>
                <w:color w:val="172033"/>
                <w:sz w:val="18"/>
              </w:rPr>
              <w:t>10 min strategic alignment  |  25 min intake and gating  |  20 min prioritization  |  25 min portfolio workshop  |  10 min review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OUTPUT</w:t>
            </w:r>
          </w:p>
        </w:tc>
        <w:tc>
          <w:tcPr>
            <w:tcW w:type="dxa" w:w="4968"/>
            <w:shd w:fill="FFFFFF"/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color w:val="172033"/>
                <w:sz w:val="18"/>
              </w:rPr>
              <w:t>Portfolio intake, prioritization and decision-rights sheet.</w:t>
            </w:r>
          </w:p>
        </w:tc>
      </w:tr>
    </w:tbl>
    <w:p/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3.1 From request intake to approved portfolio</w:t>
      </w:r>
    </w:p>
    <w:p>
      <w:pPr>
        <w:pStyle w:val="BodyText"/>
        <w:widowControl/>
        <w:spacing w:after="120" w:line="259" w:lineRule="auto"/>
        <w:jc w:val="both"/>
      </w:pPr>
      <w:r>
        <w:rPr>
          <w:rFonts w:ascii="Inter" w:hAnsi="Inter"/>
          <w:color w:val="172033"/>
          <w:sz w:val="20"/>
        </w:rPr>
        <w:t>The source emphasizes alignment between marketing projects and business goals, but a scalable model needs a formal intake and prioritization mechanism. Without it, marketing teams become demand receivers, urgent requests displace strategic work, and resource plans lose credibility. [S1]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19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74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Decision criteria</w:t>
            </w:r>
          </w:p>
        </w:tc>
        <w:tc>
          <w:tcPr>
            <w:tcW w:type="dxa" w:w="180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1728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G0 – Request validation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Defined problem, requester, target audience, due-date rationale and required decision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Marketing operations</w:t>
            </w:r>
          </w:p>
        </w:tc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Complete intake or return for clarification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G1 – Strategic fit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Contribution to enterprise objective, customer need and portfolio balance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Marketing leadership / sponsor</w:t>
            </w:r>
          </w:p>
        </w:tc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Prioritized concept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G2 – Feasibility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Capacity, budget, data, channel, technology, legal and dependency viability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Cross-functional review</w:t>
            </w:r>
          </w:p>
        </w:tc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Approved / deferred / rejected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G3 – Baseline approval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Scope, milestones, budget, risk, measurement and governance are complete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Sponsor / steering group</w:t>
            </w:r>
          </w:p>
        </w:tc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Authorized project baseline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G4 – Launch readiness</w:t>
            </w:r>
          </w:p>
        </w:tc>
        <w:tc>
          <w:tcPr>
            <w:tcW w:type="dxa" w:w="374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Quality, tracking, consent, disclosure, operational support and evidence are complete</w:t>
            </w:r>
          </w:p>
        </w:tc>
        <w:tc>
          <w:tcPr>
            <w:tcW w:type="dxa" w:w="180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Go/no-go authority</w:t>
            </w:r>
          </w:p>
        </w:tc>
        <w:tc>
          <w:tcPr>
            <w:tcW w:type="dxa" w:w="1728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Launch authorization</w:t>
            </w:r>
          </w:p>
        </w:tc>
      </w:tr>
      <w:tr>
        <w:trPr>
          <w:cantSplit/>
        </w:trPr>
        <w:tc>
          <w:tcPr>
            <w:tcW w:type="dxa" w:w="19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5"/>
              </w:rPr>
              <w:t>G5 – Closure</w:t>
            </w:r>
          </w:p>
        </w:tc>
        <w:tc>
          <w:tcPr>
            <w:tcW w:type="dxa" w:w="374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Outputs accepted, data available, finances reconciled and learning captured</w:t>
            </w:r>
          </w:p>
        </w:tc>
        <w:tc>
          <w:tcPr>
            <w:tcW w:type="dxa" w:w="180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Sponsor and project manager</w:t>
            </w:r>
          </w:p>
        </w:tc>
        <w:tc>
          <w:tcPr>
            <w:tcW w:type="dxa" w:w="1728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5"/>
              </w:rPr>
              <w:t>Formal closure and benefits follow-up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3.2 Portfolio prioritization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309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656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Suggested weight</w:t>
            </w:r>
          </w:p>
        </w:tc>
        <w:tc>
          <w:tcPr>
            <w:tcW w:type="dxa" w:w="475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Scoring guidance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Strategic alignment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25%</w:t>
            </w:r>
          </w:p>
        </w:tc>
        <w:tc>
          <w:tcPr>
            <w:tcW w:type="dxa" w:w="47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Directly supports a committed enterprise or business-unit priority.</w:t>
            </w:r>
          </w:p>
        </w:tc>
      </w:tr>
      <w:tr>
        <w:trPr>
          <w:cantSplit/>
        </w:trPr>
        <w:tc>
          <w:tcPr>
            <w:tcW w:type="dxa" w:w="30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Commercial / customer value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20%</w:t>
            </w:r>
          </w:p>
        </w:tc>
        <w:tc>
          <w:tcPr>
            <w:tcW w:type="dxa" w:w="47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Expected revenue, margin, retention, advocacy, market or customer impact.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Urgency and timing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15%</w:t>
            </w:r>
          </w:p>
        </w:tc>
        <w:tc>
          <w:tcPr>
            <w:tcW w:type="dxa" w:w="47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Market window, launch dependency, contractual commitment or regulatory date.</w:t>
            </w:r>
          </w:p>
        </w:tc>
      </w:tr>
      <w:tr>
        <w:trPr>
          <w:cantSplit/>
        </w:trPr>
        <w:tc>
          <w:tcPr>
            <w:tcW w:type="dxa" w:w="30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Evidence strength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10%</w:t>
            </w:r>
          </w:p>
        </w:tc>
        <w:tc>
          <w:tcPr>
            <w:tcW w:type="dxa" w:w="47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Quality of customer insight, prior results, test data and causal hypothesis.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Feasibility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10%</w:t>
            </w:r>
          </w:p>
        </w:tc>
        <w:tc>
          <w:tcPr>
            <w:tcW w:type="dxa" w:w="47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Availability of skills, technology, data, approvals and channel access.</w:t>
            </w:r>
          </w:p>
        </w:tc>
      </w:tr>
      <w:tr>
        <w:trPr>
          <w:cantSplit/>
        </w:trPr>
        <w:tc>
          <w:tcPr>
            <w:tcW w:type="dxa" w:w="309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Risk-adjusted effort</w:t>
            </w:r>
          </w:p>
        </w:tc>
        <w:tc>
          <w:tcPr>
            <w:tcW w:type="dxa" w:w="1656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10%</w:t>
            </w:r>
          </w:p>
        </w:tc>
        <w:tc>
          <w:tcPr>
            <w:tcW w:type="dxa" w:w="475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Complexity, uncertainty, compliance exposure and opportunity cost.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Learning value</w:t>
            </w:r>
          </w:p>
        </w:tc>
        <w:tc>
          <w:tcPr>
            <w:tcW w:type="dxa" w:w="1656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10%</w:t>
            </w:r>
          </w:p>
        </w:tc>
        <w:tc>
          <w:tcPr>
            <w:tcW w:type="dxa" w:w="475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Potential to validate a strategic assumption or create reusable knowledge.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"/>
        <w:gridCol w:w="9014"/>
      </w:tblGrid>
      <w:tr>
        <w:tc>
          <w:tcPr>
            <w:tcW w:type="dxa" w:w="4968"/>
            <w:shd w:fill="00A878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E7F8F2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rFonts w:ascii="Inter" w:hAnsi="Inter"/>
                <w:b/>
                <w:color w:val="00A878"/>
                <w:sz w:val="18"/>
              </w:rPr>
              <w:t>GOVERNANCE PRINCIPLE</w:t>
            </w:r>
          </w:p>
          <w:p>
            <w:pPr>
              <w:spacing w:after="0" w:line="250" w:lineRule="auto"/>
            </w:pPr>
            <w:r>
              <w:rPr>
                <w:rFonts w:ascii="Inter" w:hAnsi="Inter"/>
                <w:color w:val="172033"/>
                <w:sz w:val="19"/>
              </w:rPr>
              <w:t>A high-priority project must still satisfy minimum feasibility, compliance and measurement gates. Strategic urgency does not justify an unmeasurable or uncontrolled launch.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  <w:spacing w:before="240" w:after="100"/>
      </w:pPr>
      <w:r>
        <w:rPr>
          <w:rFonts w:ascii="Inter" w:hAnsi="Inter"/>
          <w:b/>
          <w:color w:val="0B1739"/>
          <w:sz w:val="28"/>
        </w:rPr>
        <w:t>3.3 Decision rights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2880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304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Accountable role</w:t>
            </w:r>
          </w:p>
        </w:tc>
        <w:tc>
          <w:tcPr>
            <w:tcW w:type="dxa" w:w="4032"/>
            <w:shd w:fill="0B173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nter" w:hAnsi="Inter"/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Approve project initiation</w:t>
            </w:r>
          </w:p>
        </w:tc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Executive sponsor</w:t>
            </w:r>
          </w:p>
        </w:tc>
        <w:tc>
          <w:tcPr>
            <w:tcW w:type="dxa" w:w="40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Business case, priority score, initial budget and measurable outcome</w:t>
            </w:r>
          </w:p>
        </w:tc>
      </w:tr>
      <w:tr>
        <w:trPr>
          <w:cantSplit/>
        </w:trPr>
        <w:tc>
          <w:tcPr>
            <w:tcW w:type="dxa" w:w="28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Approve baseline</w:t>
            </w:r>
          </w:p>
        </w:tc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Sponsor / steering group</w:t>
            </w:r>
          </w:p>
        </w:tc>
        <w:tc>
          <w:tcPr>
            <w:tcW w:type="dxa" w:w="40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Charter, schedule, resource plan, risk and measurement plan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Approve scope change</w:t>
            </w:r>
          </w:p>
        </w:tc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Change authority</w:t>
            </w:r>
          </w:p>
        </w:tc>
        <w:tc>
          <w:tcPr>
            <w:tcW w:type="dxa" w:w="40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Impact on outcome, schedule, budget, resources, risk and dependencies</w:t>
            </w:r>
          </w:p>
        </w:tc>
      </w:tr>
      <w:tr>
        <w:trPr>
          <w:cantSplit/>
        </w:trPr>
        <w:tc>
          <w:tcPr>
            <w:tcW w:type="dxa" w:w="28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Approve campaign launch</w:t>
            </w:r>
          </w:p>
        </w:tc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Go/no-go authority</w:t>
            </w:r>
          </w:p>
        </w:tc>
        <w:tc>
          <w:tcPr>
            <w:tcW w:type="dxa" w:w="40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Quality, legal/privacy, tracking, support and contingency readiness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Stop or pivot campaign</w:t>
            </w:r>
          </w:p>
        </w:tc>
        <w:tc>
          <w:tcPr>
            <w:tcW w:type="dxa" w:w="2304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Sponsor with channel / analytics owner</w:t>
            </w:r>
          </w:p>
        </w:tc>
        <w:tc>
          <w:tcPr>
            <w:tcW w:type="dxa" w:w="4032"/>
            <w:shd w:fill="FFFFFF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Performance evidence, risk threshold or changed business condition</w:t>
            </w:r>
          </w:p>
        </w:tc>
      </w:tr>
      <w:tr>
        <w:trPr>
          <w:cantSplit/>
        </w:trPr>
        <w:tc>
          <w:tcPr>
            <w:tcW w:type="dxa" w:w="2880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/>
                <w:color w:val="172033"/>
                <w:sz w:val="16"/>
              </w:rPr>
              <w:t>Close project</w:t>
            </w:r>
          </w:p>
        </w:tc>
        <w:tc>
          <w:tcPr>
            <w:tcW w:type="dxa" w:w="2304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Sponsor and project manager</w:t>
            </w:r>
          </w:p>
        </w:tc>
        <w:tc>
          <w:tcPr>
            <w:tcW w:type="dxa" w:w="4032"/>
            <w:shd w:fill="F2F5FA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4" w:color="D9DFEA"/>
              <w:left w:val="single" w:sz="4" w:color="D9DFEA"/>
              <w:bottom w:val="single" w:sz="4" w:color="D9DFEA"/>
              <w:right w:val="single" w:sz="4" w:color="D9DFEA"/>
            </w:tcBorders>
          </w:tcPr>
          <w:p>
            <w:pPr>
              <w:spacing w:after="0" w:line="240" w:lineRule="auto"/>
            </w:pPr>
            <w:r>
              <w:rPr>
                <w:rFonts w:ascii="Inter" w:hAnsi="Inter"/>
                <w:b w:val="0"/>
                <w:color w:val="172033"/>
                <w:sz w:val="16"/>
              </w:rPr>
              <w:t>Acceptance, financial reconciliation, archive and lessons learned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spacing w:before="240" w:after="100"/>
      </w:pPr>
      <w:r>
        <w:t>Applied learning and assessment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8"/>
        <w:gridCol w:w="7992"/>
      </w:tblGrid>
      <w:tr>
        <w:trPr>
          <w:tblHeader w:val="true"/>
        </w:trPr>
        <w:tc>
          <w:tcPr>
            <w:tcW w:type="dxa" w:w="9936"/>
            <w:gridSpan w:val="2"/>
            <w:shd w:fill="365F91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FFFFFF"/>
                <w:sz w:val="20"/>
              </w:rPr>
              <w:t>LECTURE 03 APPLICATION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APPLIED WORKSHOP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Score three candidate marketing initiatives using strategic fit, expected value, urgency, risk, effort and capacity. Recommend approve, defer, redesign or reject, and assign the required decision authority.</w:t>
            </w:r>
          </w:p>
        </w:tc>
      </w:tr>
      <w:tr>
        <w:trPr>
          <w:cantSplit/>
        </w:trPr>
        <w:tc>
          <w:tcPr>
            <w:tcW w:type="dxa" w:w="4968"/>
            <w:shd w:fill="EAF3FA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b/>
                <w:i w:val="0"/>
                <w:color w:val="365F91"/>
                <w:sz w:val="17"/>
              </w:rPr>
              <w:t>KNOWLEDGE CHECK</w:t>
            </w:r>
          </w:p>
        </w:tc>
        <w:tc>
          <w:tcPr>
            <w:tcW w:type="dxa" w:w="4968"/>
            <w:shd w:fill="F5F8FC"/>
            <w:tcMar>
              <w:top w:w="105" w:type="dxa"/>
              <w:start w:w="125" w:type="dxa"/>
              <w:bottom w:w="105" w:type="dxa"/>
              <w:end w:w="125" w:type="dxa"/>
            </w:tcMar>
            <w:vAlign w:val="top"/>
            <w:tcBorders>
              <w:top w:val="single" w:sz="6" w:color="B8CBE0"/>
              <w:left w:val="single" w:sz="6" w:color="B8CBE0"/>
              <w:bottom w:val="single" w:sz="6" w:color="B8CBE0"/>
              <w:right w:val="single" w:sz="6" w:color="B8CBE0"/>
            </w:tcBorders>
          </w:tcPr>
          <w:p>
            <w:pPr>
              <w:spacing w:after="0"/>
            </w:pPr>
            <w:r>
              <w:rPr>
                <w:rFonts w:ascii="Inter" w:hAnsi="Inter"/>
                <w:color w:val="172033"/>
                <w:sz w:val="18"/>
              </w:rPr>
              <w:t>1. Why is a high-value idea not automatically a high-priority project?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2. Which decisions should remain with the sponsor rather than the project manager?</w:t>
            </w:r>
            <w:r>
              <w:br/>
            </w:r>
            <w:r>
              <w:rPr>
                <w:rFonts w:ascii="Inter" w:hAnsi="Inter"/>
                <w:color w:val="172033"/>
                <w:sz w:val="18"/>
              </w:rPr>
              <w:t>3. How do stage gates prevent low-quality demand from consuming capacity?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008" w:right="1080" w:bottom="936" w:left="1080" w:header="360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5C6B7A"/>
        <w:sz w:val="15"/>
      </w:rPr>
      <w:t>Prepared for Ahmed Labib  |  July 2026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216"/>
      <w:gridCol w:w="3216"/>
      <w:gridCol w:w="3216"/>
    </w:tblGrid>
    <w:tr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r>
            <w:rPr>
              <w:rFonts w:ascii="Inter" w:hAnsi="Inter"/>
              <w:color w:val="5E687B"/>
              <w:sz w:val="16"/>
            </w:rPr>
            <w:t>Ahmed Labib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center"/>
          </w:pPr>
          <w:r>
            <w:rPr>
              <w:rFonts w:ascii="Inter" w:hAnsi="Inter"/>
              <w:b/>
              <w:color w:val="6C4CF1"/>
              <w:sz w:val="16"/>
            </w:rPr>
            <w:t>CONFIDENTIAL</w:t>
          </w:r>
        </w:p>
      </w:tc>
      <w:tc>
        <w:tcPr>
          <w:tcW w:type="dxa" w:w="3216"/>
          <w:tcMar>
            <w:top w:w="30" w:type="dxa"/>
            <w:start w:w="0" w:type="dxa"/>
            <w:bottom w:w="0" w:type="dxa"/>
            <w:end w:w="0" w:type="dxa"/>
          </w:tcMar>
          <w:tcBorders>
            <w:top w:val="single" w:sz="6" w:color="D9DFEA"/>
          </w:tcBorders>
        </w:tcPr>
        <w:p>
          <w:pPr>
            <w:jc w:val="right"/>
          </w:pPr>
          <w:r>
            <w:rPr>
              <w:rFonts w:ascii="Inter" w:hAnsi="Inter"/>
              <w:color w:val="5E687B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  <w:p>
    <w:pPr>
      <w:jc w:val="right"/>
    </w:pPr>
    <w:r>
      <w:rPr>
        <w:color w:val="5C6B7A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D9E2EC"/>
      </w:pBdr>
    </w:pPr>
    <w:r>
      <w:rPr>
        <w:rFonts w:ascii="Arial" w:hAnsi="Arial"/>
        <w:b/>
        <w:color w:val="5C6B7A"/>
        <w:sz w:val="15"/>
      </w:rPr>
      <w:t>MARKETING PROJECT MANAGEMENT  |  LECTURE 03</w:t>
    </w: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912"/>
      <w:gridCol w:w="2736"/>
    </w:tblGrid>
    <w:tr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MARKETING PROJECT MANAGEMENT COURSE</w:t>
          </w:r>
        </w:p>
      </w:tc>
      <w:tc>
        <w:tcPr>
          <w:tcW w:type="dxa" w:w="4824"/>
          <w:tcMar>
            <w:top w:w="20" w:type="dxa"/>
            <w:start w:w="0" w:type="dxa"/>
            <w:bottom w:w="30" w:type="dxa"/>
            <w:end w:w="0" w:type="dxa"/>
          </w:tcMar>
          <w:tcBorders>
            <w:bottom w:val="single" w:sz="10" w:color="6C4CF1"/>
          </w:tcBorders>
        </w:tcPr>
        <w:p>
          <w:pPr>
            <w:spacing w:after="0"/>
            <w:jc w:val="right"/>
          </w:pPr>
          <w:r>
            <w:rPr>
              <w:rFonts w:ascii="Inter" w:hAnsi="Inter"/>
              <w:b/>
              <w:i w:val="0"/>
              <w:color w:val="365F91"/>
              <w:sz w:val="16"/>
            </w:rPr>
            <w:t>13-LECTURE PROFESSIONAL EDITION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Inter" w:hAnsi="Inter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Inter" w:hAnsi="Inte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" w:hAnsi="Inter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Inter" w:hAnsi="Inter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" w:hAnsi="Inter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www.nist.gov/itl/ai-risk-management-framework" TargetMode="External"/><Relationship Id="rId17" Type="http://schemas.openxmlformats.org/officeDocument/2006/relationships/hyperlink" Target="https://support.google.com/analytics/answer/12966437?hl=en" TargetMode="External"/><Relationship Id="rId18" Type="http://schemas.openxmlformats.org/officeDocument/2006/relationships/hyperlink" Target="https://www.ftc.gov/business-guidance/resources/disclosures-101-social-media-influencers" TargetMode="External"/><Relationship Id="rId19" Type="http://schemas.openxmlformats.org/officeDocument/2006/relationships/hyperlink" Target="https://arxiv.org/abs/1901.05771" TargetMode="External"/><Relationship Id="rId20" Type="http://schemas.openxmlformats.org/officeDocument/2006/relationships/hyperlink" Target="https://arxiv.org/abs/2412.02041" TargetMode="External"/><Relationship Id="rId21" Type="http://schemas.openxmlformats.org/officeDocument/2006/relationships/hyperlink" Target="https://arxiv.org/abs/2203.00430" TargetMode="External"/><Relationship Id="rId22" Type="http://schemas.openxmlformats.org/officeDocument/2006/relationships/hyperlink" Target="https://arxiv.org/abs/1911.09964" TargetMode="External"/><Relationship Id="rId23" Type="http://schemas.openxmlformats.org/officeDocument/2006/relationships/hyperlink" Target="https://arxiv.org/abs/2605.14021" TargetMode="External"/><Relationship Id="rId2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03 - Governance And Strategic Alignment</dc:title>
  <dc:subject>Marketing Project Management Professional Course</dc:subject>
  <dc:creator>Ahmed Labib</dc:creator>
  <cp:keywords>marketing project management, governance, course, lecture</cp:keywords>
  <dc:description>Standalone lecture extracted from the premium professional course manual.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