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60"/>
        <w:gridCol w:w="3360"/>
        <w:gridCol w:w="3360"/>
      </w:tblGrid>
      <w:tr>
        <w:tc>
          <w:tcPr>
            <w:tcW w:type="dxa" w:w="3168"/>
            <w:shd w:fill="5A43D6"/>
            <w:tcMar>
              <w:top w:w="35" w:type="dxa"/>
              <w:start w:w="0" w:type="dxa"/>
              <w:bottom w:w="35" w:type="dxa"/>
              <w:end w:w="0" w:type="dxa"/>
            </w:tcMar>
          </w:tcPr>
          <w:p>
            <w:r/>
          </w:p>
        </w:tc>
        <w:tc>
          <w:tcPr>
            <w:tcW w:type="dxa" w:w="3168"/>
            <w:shd w:fill="00A7A7"/>
            <w:tcMar>
              <w:top w:w="35" w:type="dxa"/>
              <w:start w:w="0" w:type="dxa"/>
              <w:bottom w:w="35" w:type="dxa"/>
              <w:end w:w="0" w:type="dxa"/>
            </w:tcMar>
          </w:tcPr>
          <w:p>
            <w:r/>
          </w:p>
        </w:tc>
        <w:tc>
          <w:tcPr>
            <w:tcW w:type="dxa" w:w="3168"/>
            <w:shd w:fill="F2B84B"/>
            <w:tcMar>
              <w:top w:w="35" w:type="dxa"/>
              <w:start w:w="0" w:type="dxa"/>
              <w:bottom w:w="35" w:type="dxa"/>
              <w:end w:w="0" w:type="dxa"/>
            </w:tcMar>
          </w:tcPr>
          <w:p>
            <w:r/>
          </w:p>
        </w:tc>
      </w:tr>
    </w:tbl>
    <w:p>
      <w:pPr>
        <w:spacing w:before="480" w:after="40"/>
      </w:pPr>
      <w:r>
        <w:rPr>
          <w:rFonts w:ascii="Arial" w:hAnsi="Arial"/>
          <w:b/>
          <w:color w:val="5A43D6"/>
          <w:sz w:val="20"/>
        </w:rPr>
        <w:t>PROFESSIONAL COURSE SERIES</w:t>
      </w:r>
    </w:p>
    <w:p>
      <w:pPr>
        <w:spacing w:before="40" w:after="0"/>
      </w:pPr>
      <w:r>
        <w:rPr>
          <w:rFonts w:ascii="Arial" w:hAnsi="Arial"/>
          <w:b/>
          <w:color w:val="10243E"/>
          <w:sz w:val="60"/>
        </w:rPr>
        <w:t>MARKETING PROJECT</w:t>
      </w:r>
    </w:p>
    <w:p>
      <w:pPr>
        <w:spacing w:before="0" w:after="320"/>
        <w:pBdr>
          <w:bottom w:val="single" w:sz="24" w:space="5" w:color="00A7A7"/>
        </w:pBdr>
      </w:pPr>
      <w:r>
        <w:rPr>
          <w:rFonts w:ascii="Arial" w:hAnsi="Arial"/>
          <w:b/>
          <w:color w:val="10243E"/>
          <w:sz w:val="60"/>
        </w:rPr>
        <w:t>MANAGEMENT</w:t>
      </w:r>
    </w:p>
    <w:tbl>
      <w:tblPr>
        <w:tblW w:type="auto" w:w="0"/>
        <w:jc w:val="left"/>
        <w:tblLayout w:type="fixed"/>
        <w:tblLook w:firstColumn="1" w:firstRow="1" w:lastColumn="0" w:lastRow="0" w:noHBand="0" w:noVBand="1" w:val="04A0"/>
      </w:tblPr>
      <w:tblGrid>
        <w:gridCol w:w="5040"/>
        <w:gridCol w:w="5040"/>
      </w:tblGrid>
      <w:tr>
        <w:tc>
          <w:tcPr>
            <w:tcW w:type="dxa" w:w="2088"/>
            <w:shd w:fill="5A43D6"/>
            <w:vAlign w:val="center"/>
            <w:tcMar>
              <w:top w:w="180" w:type="dxa"/>
              <w:start w:w="190" w:type="dxa"/>
              <w:bottom w:w="180" w:type="dxa"/>
              <w:end w:w="190" w:type="dxa"/>
            </w:tcMar>
          </w:tcPr>
          <w:p>
            <w:pPr>
              <w:jc w:val="center"/>
            </w:pPr>
            <w:r>
              <w:rPr>
                <w:rFonts w:ascii="Arial" w:hAnsi="Arial"/>
                <w:b/>
                <w:color w:val="FFFFFF"/>
                <w:sz w:val="36"/>
              </w:rPr>
              <w:t>LECTURE</w:t>
              <w:br/>
              <w:t>04</w:t>
            </w:r>
          </w:p>
        </w:tc>
        <w:tc>
          <w:tcPr>
            <w:tcW w:type="dxa" w:w="7344"/>
            <w:shd w:fill="F3F6FA"/>
            <w:vAlign w:val="center"/>
            <w:tcMar>
              <w:top w:w="180" w:type="dxa"/>
              <w:start w:w="190" w:type="dxa"/>
              <w:bottom w:w="180" w:type="dxa"/>
              <w:end w:w="190" w:type="dxa"/>
            </w:tcMar>
          </w:tcPr>
          <w:p>
            <w:pPr>
              <w:spacing w:after="0"/>
            </w:pPr>
            <w:r>
              <w:rPr>
                <w:rFonts w:ascii="Arial" w:hAnsi="Arial"/>
                <w:b/>
                <w:color w:val="1B2638"/>
                <w:sz w:val="32"/>
              </w:rPr>
              <w:t>PLANNING, SCHEDULING AND CHANGE CONTROL</w:t>
            </w:r>
          </w:p>
        </w:tc>
      </w:tr>
    </w:tbl>
    <w:p>
      <w:pPr>
        <w:spacing w:before="440" w:after="120"/>
      </w:pPr>
      <w:r>
        <w:rPr>
          <w:rFonts w:ascii="Arial" w:hAnsi="Arial"/>
          <w:b/>
          <w:color w:val="00A7A7"/>
          <w:sz w:val="19"/>
        </w:rPr>
        <w:t>COURSE POSITIONING</w:t>
      </w:r>
    </w:p>
    <w:p>
      <w:pPr>
        <w:spacing w:after="360"/>
      </w:pPr>
      <w:r>
        <w:rPr>
          <w:rFonts w:ascii="Arial" w:hAnsi="Arial"/>
          <w:color w:val="5C6B7A"/>
          <w:sz w:val="24"/>
        </w:rPr>
        <w:t>Strategy  |  Governance  |  Delivery  |  Measurement  |  Applied Learning</w:t>
      </w:r>
    </w:p>
    <w:tbl>
      <w:tblPr>
        <w:tblW w:type="auto" w:w="0"/>
        <w:jc w:val="left"/>
        <w:tblLayout w:type="fixed"/>
        <w:tblLook w:firstColumn="1" w:firstRow="1" w:lastColumn="0" w:lastRow="0" w:noHBand="0" w:noVBand="1" w:val="04A0"/>
      </w:tblPr>
      <w:tblGrid>
        <w:gridCol w:w="5040"/>
        <w:gridCol w:w="5040"/>
      </w:tblGrid>
      <w:tr>
        <w:tc>
          <w:tcPr>
            <w:tcW w:type="dxa" w:w="2088"/>
            <w:shd w:fill="10243E"/>
            <w:vAlign w:val="center"/>
            <w:tcMar>
              <w:top w:w="105" w:type="dxa"/>
              <w:start w:w="140" w:type="dxa"/>
              <w:bottom w:w="105" w:type="dxa"/>
              <w:end w:w="140" w:type="dxa"/>
            </w:tcMar>
          </w:tcPr>
          <w:p>
            <w:r>
              <w:rPr>
                <w:rFonts w:ascii="Arial" w:hAnsi="Arial"/>
                <w:b/>
                <w:color w:val="FFFFFF"/>
                <w:sz w:val="17"/>
              </w:rPr>
              <w:t>PREPARED FOR</w:t>
            </w:r>
          </w:p>
        </w:tc>
        <w:tc>
          <w:tcPr>
            <w:tcW w:type="dxa" w:w="7344"/>
            <w:shd w:fill="FFFFFF"/>
            <w:vAlign w:val="center"/>
            <w:tcMar>
              <w:top w:w="105" w:type="dxa"/>
              <w:start w:w="140" w:type="dxa"/>
              <w:bottom w:w="105" w:type="dxa"/>
              <w:end w:w="140" w:type="dxa"/>
            </w:tcMar>
          </w:tcPr>
          <w:p>
            <w:r>
              <w:rPr>
                <w:rFonts w:ascii="Arial" w:hAnsi="Arial"/>
                <w:color w:val="1B2638"/>
                <w:sz w:val="19"/>
              </w:rPr>
              <w:t>Ahmed Labib</w:t>
            </w:r>
          </w:p>
        </w:tc>
      </w:tr>
      <w:tr>
        <w:tc>
          <w:tcPr>
            <w:tcW w:type="dxa" w:w="2088"/>
            <w:shd w:fill="10243E"/>
            <w:vAlign w:val="center"/>
            <w:tcMar>
              <w:top w:w="105" w:type="dxa"/>
              <w:start w:w="140" w:type="dxa"/>
              <w:bottom w:w="105" w:type="dxa"/>
              <w:end w:w="140" w:type="dxa"/>
            </w:tcMar>
          </w:tcPr>
          <w:p>
            <w:r>
              <w:rPr>
                <w:rFonts w:ascii="Arial" w:hAnsi="Arial"/>
                <w:b/>
                <w:color w:val="FFFFFF"/>
                <w:sz w:val="17"/>
              </w:rPr>
              <w:t>EDITION</w:t>
            </w:r>
          </w:p>
        </w:tc>
        <w:tc>
          <w:tcPr>
            <w:tcW w:type="dxa" w:w="7344"/>
            <w:shd w:fill="F3F6FA"/>
            <w:vAlign w:val="center"/>
            <w:tcMar>
              <w:top w:w="105" w:type="dxa"/>
              <w:start w:w="140" w:type="dxa"/>
              <w:bottom w:w="105" w:type="dxa"/>
              <w:end w:w="140" w:type="dxa"/>
            </w:tcMar>
          </w:tcPr>
          <w:p>
            <w:r>
              <w:rPr>
                <w:rFonts w:ascii="Arial" w:hAnsi="Arial"/>
                <w:color w:val="1B2638"/>
                <w:sz w:val="19"/>
              </w:rPr>
              <w:t>Lecture-Based Professional Course</w:t>
            </w:r>
          </w:p>
        </w:tc>
      </w:tr>
      <w:tr>
        <w:tc>
          <w:tcPr>
            <w:tcW w:type="dxa" w:w="2088"/>
            <w:shd w:fill="10243E"/>
            <w:vAlign w:val="center"/>
            <w:tcMar>
              <w:top w:w="105" w:type="dxa"/>
              <w:start w:w="140" w:type="dxa"/>
              <w:bottom w:w="105" w:type="dxa"/>
              <w:end w:w="140" w:type="dxa"/>
            </w:tcMar>
          </w:tcPr>
          <w:p>
            <w:r>
              <w:rPr>
                <w:rFonts w:ascii="Arial" w:hAnsi="Arial"/>
                <w:b/>
                <w:color w:val="FFFFFF"/>
                <w:sz w:val="17"/>
              </w:rPr>
              <w:t>ISSUE DATE</w:t>
            </w:r>
          </w:p>
        </w:tc>
        <w:tc>
          <w:tcPr>
            <w:tcW w:type="dxa" w:w="7344"/>
            <w:shd w:fill="FFFFFF"/>
            <w:vAlign w:val="center"/>
            <w:tcMar>
              <w:top w:w="105" w:type="dxa"/>
              <w:start w:w="140" w:type="dxa"/>
              <w:bottom w:w="105" w:type="dxa"/>
              <w:end w:w="140" w:type="dxa"/>
            </w:tcMar>
          </w:tcPr>
          <w:p>
            <w:r>
              <w:rPr>
                <w:rFonts w:ascii="Arial" w:hAnsi="Arial"/>
                <w:color w:val="1B2638"/>
                <w:sz w:val="19"/>
              </w:rPr>
              <w:t>July 2026</w:t>
            </w:r>
          </w:p>
        </w:tc>
      </w:tr>
    </w:tbl>
    <w:p>
      <w:pPr>
        <w:spacing w:before="480" w:after="0"/>
      </w:pPr>
      <w:r>
        <w:rPr>
          <w:rFonts w:ascii="Arial" w:hAnsi="Arial"/>
          <w:i/>
          <w:color w:val="5C6B7A"/>
          <w:sz w:val="18"/>
        </w:rPr>
        <w:t>A standalone lecture from the premium Marketing Project Management professional course.</w:t>
      </w:r>
    </w:p>
    <w:p>
      <w:pPr>
        <w:spacing w:before="160" w:after="0"/>
      </w:pPr>
      <w:r>
        <w:rPr>
          <w:rFonts w:ascii="Arial" w:hAnsi="Arial"/>
          <w:b/>
          <w:color w:val="5A43D6"/>
          <w:sz w:val="17"/>
        </w:rPr>
        <w:t>CONFIDENTIAL  |  PROFESSIONAL LEARNING MATERIAL</w:t>
      </w:r>
    </w:p>
    <w:p>
      <w:pPr>
        <w:spacing w:after="0"/>
      </w:pPr>
      <w:r>
        <w:br w:type="page"/>
      </w:r>
    </w:p>
    <w:p>
      <w:pPr>
        <w:pStyle w:val="Heading1"/>
        <w:keepNext/>
        <w:pageBreakBefore w:val="0"/>
        <w:widowControl/>
        <w:spacing w:before="0" w:after="80"/>
      </w:pPr>
      <w:r>
        <w:rPr>
          <w:rFonts w:ascii="Inter" w:hAnsi="Inter"/>
          <w:b/>
          <w:color w:val="365F91"/>
          <w:sz w:val="28"/>
        </w:rPr>
        <w:t>LECTURE 04  |  PLANNING, SCHEDULING AND CHANGE CONTROL</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Building credible baselines and controlling the impact of change</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04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Develop a minimum viable charter, scope baseline and deliverable-oriented WBS.</w:t>
            </w:r>
            <w:r>
              <w:br/>
            </w:r>
            <w:r>
              <w:rPr>
                <w:rFonts w:ascii="Inter" w:hAnsi="Inter"/>
                <w:b w:val="0"/>
                <w:color w:val="172033"/>
                <w:sz w:val="18"/>
              </w:rPr>
              <w:t>2. Create realistic estimates, dependencies, milestones and acceptance criteria.</w:t>
            </w:r>
            <w:r>
              <w:br/>
            </w:r>
            <w:r>
              <w:rPr>
                <w:rFonts w:ascii="Inter" w:hAnsi="Inter"/>
                <w:b w:val="0"/>
                <w:color w:val="172033"/>
                <w:sz w:val="18"/>
              </w:rPr>
              <w:t>3. Operate formal change control using quantified time, cost, resource and benefit impacts.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charter  |  25 min WBS and logic  |  20 min estimation and milestones  |  25 min change-control exercise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Approved baseline pack: charter, WBS, milestone plan and change log.</w:t>
            </w:r>
          </w:p>
        </w:tc>
      </w:tr>
    </w:tbl>
    <w:p/>
    <w:p>
      <w:pPr>
        <w:pStyle w:val="Heading2"/>
        <w:keepNext/>
        <w:widowControl/>
        <w:spacing w:before="240" w:after="100"/>
      </w:pPr>
      <w:r>
        <w:rPr>
          <w:rFonts w:ascii="Inter" w:hAnsi="Inter"/>
          <w:b/>
          <w:color w:val="0B1739"/>
          <w:sz w:val="28"/>
        </w:rPr>
        <w:t>4.1 Minimum project charter</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0B1739"/>
            <w:tcMar>
              <w:top w:w="100" w:type="dxa"/>
              <w:start w:w="80" w:type="dxa"/>
              <w:bottom w:w="100" w:type="dxa"/>
              <w:end w:w="80" w:type="dxa"/>
            </w:tcMar>
          </w:tcPr>
          <w:p>
            <w:pPr>
              <w:spacing w:after="0"/>
              <w:jc w:val="left"/>
            </w:pPr>
            <w:r>
              <w:rPr>
                <w:rFonts w:ascii="Inter" w:hAnsi="Inter"/>
                <w:b/>
                <w:color w:val="FFFFFF"/>
                <w:sz w:val="16"/>
              </w:rPr>
              <w:t>Charter section</w:t>
            </w:r>
          </w:p>
        </w:tc>
        <w:tc>
          <w:tcPr>
            <w:tcW w:type="dxa" w:w="6624"/>
            <w:shd w:fill="0B1739"/>
            <w:tcMar>
              <w:top w:w="100" w:type="dxa"/>
              <w:start w:w="80" w:type="dxa"/>
              <w:bottom w:w="100" w:type="dxa"/>
              <w:end w:w="80" w:type="dxa"/>
            </w:tcMar>
          </w:tcPr>
          <w:p>
            <w:pPr>
              <w:spacing w:after="0"/>
              <w:jc w:val="left"/>
            </w:pPr>
            <w:r>
              <w:rPr>
                <w:rFonts w:ascii="Inter" w:hAnsi="Inter"/>
                <w:b/>
                <w:color w:val="FFFFFF"/>
                <w:sz w:val="16"/>
              </w:rPr>
              <w:t>Required content</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Purpose and business outcome</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Problem or opportunity, target audience, intended business effect and strategic linkage.</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and deliverables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In-scope and out-of-scope work, acceptance criteria and required formats.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Success measures</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 KPIs, leading indicators, delivery measures, baselines and targets.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Timeline and constraints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Required dates, market windows, dependencies, assumptions and tolerances.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and commercial model</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Internal labor, media, production, technology, vendor and contingency budgets.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Governance</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Sponsor, project manager, workstream owners, approval authorities and meeting cadence.</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and compliance</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Top risks, privacy requirements, disclosures, brand and regulatory controls.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plan</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Events, tagging, data sources, attribution, reporting cadence and data owner.</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AI use declaration</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Permitted AI use cases, human-review requirement, data restrictions and evidence retention.</w:t>
            </w:r>
          </w:p>
        </w:tc>
      </w:tr>
    </w:tbl>
    <w:p>
      <w:pPr>
        <w:widowControl/>
        <w:spacing w:after="0"/>
      </w:pPr>
    </w:p>
    <w:p>
      <w:pPr>
        <w:pStyle w:val="Heading2"/>
        <w:keepNext/>
        <w:widowControl/>
        <w:spacing w:before="240" w:after="100"/>
      </w:pPr>
      <w:r>
        <w:rPr>
          <w:rFonts w:ascii="Inter" w:hAnsi="Inter"/>
          <w:b/>
          <w:color w:val="0B1739"/>
          <w:sz w:val="28"/>
        </w:rPr>
        <w:t>4.2 Work breakdown structure and deliverable logic</w:t>
      </w:r>
    </w:p>
    <w:p>
      <w:pPr>
        <w:pStyle w:val="BodyText"/>
        <w:widowControl/>
        <w:spacing w:after="120" w:line="259" w:lineRule="auto"/>
        <w:jc w:val="both"/>
      </w:pPr>
      <w:r>
        <w:rPr>
          <w:rFonts w:ascii="Inter" w:hAnsi="Inter"/>
          <w:color w:val="172033"/>
          <w:sz w:val="20"/>
        </w:rPr>
        <w:t>A WBS should be organized around verifiable deliverables, not only departments or generic task lists. Each work package should have one accountable owner, a completion criterion, a forecast date and a clear dependency. Campaign-level work commonly decomposes into strategy, audience and offer, creative, content, channel setup, data and measurement, approvals, launch operations and performance optimization.</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72"/>
            <w:shd w:fill="0B1739"/>
            <w:tcMar>
              <w:top w:w="100" w:type="dxa"/>
              <w:start w:w="80" w:type="dxa"/>
              <w:bottom w:w="100" w:type="dxa"/>
              <w:end w:w="80" w:type="dxa"/>
            </w:tcMar>
          </w:tcPr>
          <w:p>
            <w:pPr>
              <w:spacing w:after="0"/>
              <w:jc w:val="left"/>
            </w:pPr>
            <w:r>
              <w:rPr>
                <w:rFonts w:ascii="Inter" w:hAnsi="Inter"/>
                <w:b/>
                <w:color w:val="FFFFFF"/>
                <w:sz w:val="16"/>
              </w:rPr>
              <w:t>WBS level</w:t>
            </w:r>
          </w:p>
        </w:tc>
        <w:tc>
          <w:tcPr>
            <w:tcW w:type="dxa" w:w="4320"/>
            <w:shd w:fill="0B1739"/>
            <w:tcMar>
              <w:top w:w="100" w:type="dxa"/>
              <w:start w:w="80" w:type="dxa"/>
              <w:bottom w:w="100" w:type="dxa"/>
              <w:end w:w="80" w:type="dxa"/>
            </w:tcMar>
          </w:tcPr>
          <w:p>
            <w:pPr>
              <w:spacing w:after="0"/>
              <w:jc w:val="left"/>
            </w:pPr>
            <w:r>
              <w:rPr>
                <w:rFonts w:ascii="Inter" w:hAnsi="Inter"/>
                <w:b/>
                <w:color w:val="FFFFFF"/>
                <w:sz w:val="16"/>
              </w:rPr>
              <w:t>Illustrative structure</w:t>
            </w:r>
          </w:p>
        </w:tc>
        <w:tc>
          <w:tcPr>
            <w:tcW w:type="dxa" w:w="3024"/>
            <w:shd w:fill="0B1739"/>
            <w:tcMar>
              <w:top w:w="100" w:type="dxa"/>
              <w:start w:w="80" w:type="dxa"/>
              <w:bottom w:w="100" w:type="dxa"/>
              <w:end w:w="80" w:type="dxa"/>
            </w:tcMar>
          </w:tcPr>
          <w:p>
            <w:pPr>
              <w:spacing w:after="0"/>
              <w:jc w:val="left"/>
            </w:pPr>
            <w:r>
              <w:rPr>
                <w:rFonts w:ascii="Inter" w:hAnsi="Inter"/>
                <w:b/>
                <w:color w:val="FFFFFF"/>
                <w:sz w:val="16"/>
              </w:rPr>
              <w:t>Control purpose</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L1 – Project</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Integrated product launch campaign</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Defines the management boundary.</w:t>
            </w:r>
          </w:p>
        </w:tc>
      </w:tr>
      <w:tr>
        <w:trPr>
          <w:cantSplit/>
        </w:trPr>
        <w:tc>
          <w:tcPr>
            <w:tcW w:type="dxa" w:w="18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L2 – Workstream</w:t>
            </w:r>
          </w:p>
        </w:tc>
        <w:tc>
          <w:tcPr>
            <w:tcW w:type="dxa" w:w="43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Strategy; creative; paid media; CRM; analytics; legal; sales enablement</w:t>
            </w:r>
          </w:p>
        </w:tc>
        <w:tc>
          <w:tcPr>
            <w:tcW w:type="dxa" w:w="30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Creates accountable delivery streams.</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L3 – Deliverable</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Campaign brief; hero video; landing page; lead journey; tracking specification</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Creates testable outputs.</w:t>
            </w:r>
          </w:p>
        </w:tc>
      </w:tr>
      <w:tr>
        <w:trPr>
          <w:cantSplit/>
        </w:trPr>
        <w:tc>
          <w:tcPr>
            <w:tcW w:type="dxa" w:w="18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L4 – Work package</w:t>
            </w:r>
          </w:p>
        </w:tc>
        <w:tc>
          <w:tcPr>
            <w:tcW w:type="dxa" w:w="43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Concept approval; copy finalization; build; QA; deployment</w:t>
            </w:r>
          </w:p>
        </w:tc>
        <w:tc>
          <w:tcPr>
            <w:tcW w:type="dxa" w:w="30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Supports scheduling, cost and ownership.</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L5 – Task / checklist</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Specific action and acceptance step</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Supports daily execution and evidence.</w:t>
            </w:r>
          </w:p>
        </w:tc>
      </w:tr>
    </w:tbl>
    <w:p>
      <w:pPr>
        <w:widowControl/>
        <w:spacing w:after="0"/>
      </w:pPr>
    </w:p>
    <w:p>
      <w:pPr>
        <w:pStyle w:val="Heading2"/>
        <w:keepNext/>
        <w:widowControl/>
        <w:spacing w:before="240" w:after="100"/>
      </w:pPr>
      <w:r>
        <w:rPr>
          <w:rFonts w:ascii="Inter" w:hAnsi="Inter"/>
          <w:b/>
          <w:color w:val="0B1739"/>
          <w:sz w:val="28"/>
        </w:rPr>
        <w:t>4.3 Estimation and milestone realism</w:t>
      </w:r>
    </w:p>
    <w:p>
      <w:pPr>
        <w:pStyle w:val="BodyText"/>
        <w:widowControl/>
        <w:spacing w:after="120" w:line="259" w:lineRule="auto"/>
        <w:jc w:val="both"/>
      </w:pPr>
      <w:r>
        <w:rPr>
          <w:rFonts w:ascii="Inter" w:hAnsi="Inter"/>
          <w:color w:val="172033"/>
          <w:sz w:val="20"/>
        </w:rPr>
        <w:t>The source correctly warns that force-fitting plans into externally imposed deadlines creates quality, budget and burnout risk. [S1] A credible plan should combine historical actuals, expert judgment, dependency analysis, complexity factors and explicit contingency. Estimation should be performed by the people responsible for delivery and then challenged through cross-functional review.</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Technique</w:t>
            </w:r>
          </w:p>
        </w:tc>
        <w:tc>
          <w:tcPr>
            <w:tcW w:type="dxa" w:w="3384"/>
            <w:shd w:fill="0B1739"/>
            <w:tcMar>
              <w:top w:w="100" w:type="dxa"/>
              <w:start w:w="80" w:type="dxa"/>
              <w:bottom w:w="100" w:type="dxa"/>
              <w:end w:w="80" w:type="dxa"/>
            </w:tcMar>
          </w:tcPr>
          <w:p>
            <w:pPr>
              <w:spacing w:after="0"/>
              <w:jc w:val="left"/>
            </w:pPr>
            <w:r>
              <w:rPr>
                <w:rFonts w:ascii="Inter" w:hAnsi="Inter"/>
                <w:b/>
                <w:color w:val="FFFFFF"/>
                <w:sz w:val="16"/>
              </w:rPr>
              <w:t>Application</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Strength / caution</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Analogous estimation</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Compare with a similar prior campaign or deliverable.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Fast; accuracy depends on comparability and quality of historical data.</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Parametric estimation</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drivers such as number of assets, markets, channels, segments or variants.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Scalable; requires a validated productivity model.</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Bottom-up estimation</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Estimate work packages and aggregate.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Most transparent; can be time-intensive.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Three-point estimation</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optimistic, most likely and pessimistic durations or costs.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Makes uncertainty visible; assumptions must be documented.</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Reference-class forecasting</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outcome distributions from comparable completed projects.</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Reduces optimism bias; requires consistent data capture.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Capacity-constrained scheduling</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Sequence work based on real skill availability, not nominal headcount.</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Improves credibility; may expose unavoidable deadline trade-offs.</w:t>
            </w:r>
          </w:p>
        </w:tc>
      </w:tr>
    </w:tbl>
    <w:p>
      <w:pPr>
        <w:widowControl/>
        <w:spacing w:after="0"/>
      </w:pPr>
    </w:p>
    <w:p>
      <w:pPr>
        <w:pStyle w:val="Heading2"/>
        <w:keepNext/>
        <w:widowControl/>
        <w:spacing w:before="240" w:after="100"/>
      </w:pPr>
      <w:r>
        <w:rPr>
          <w:rFonts w:ascii="Inter" w:hAnsi="Inter"/>
          <w:b/>
          <w:color w:val="0B1739"/>
          <w:sz w:val="28"/>
        </w:rPr>
        <w:t>4.4 Change control</w:t>
      </w:r>
    </w:p>
    <w:p>
      <w:pPr>
        <w:pStyle w:val="BodyText"/>
        <w:widowControl/>
        <w:spacing w:after="120" w:line="259" w:lineRule="auto"/>
        <w:jc w:val="both"/>
      </w:pPr>
      <w:r>
        <w:rPr>
          <w:rFonts w:ascii="Inter" w:hAnsi="Inter"/>
          <w:color w:val="172033"/>
          <w:sz w:val="20"/>
        </w:rPr>
        <w:t>Scope change is not automatically negative. It becomes damaging when the impact is hidden or the baseline is not updated. Every requested change should be recorded, assessed and explicitly approved, rejected, deferred or exchanged for another scope item.</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952"/>
            <w:shd w:fill="0B1739"/>
            <w:tcMar>
              <w:top w:w="100" w:type="dxa"/>
              <w:start w:w="80" w:type="dxa"/>
              <w:bottom w:w="100" w:type="dxa"/>
              <w:end w:w="80" w:type="dxa"/>
            </w:tcMar>
          </w:tcPr>
          <w:p>
            <w:pPr>
              <w:spacing w:after="0"/>
              <w:jc w:val="left"/>
            </w:pPr>
            <w:r>
              <w:rPr>
                <w:rFonts w:ascii="Inter" w:hAnsi="Inter"/>
                <w:b/>
                <w:color w:val="FFFFFF"/>
                <w:sz w:val="16"/>
              </w:rPr>
              <w:t>Change assessment field</w:t>
            </w:r>
          </w:p>
        </w:tc>
        <w:tc>
          <w:tcPr>
            <w:tcW w:type="dxa" w:w="6264"/>
            <w:shd w:fill="0B1739"/>
            <w:tcMar>
              <w:top w:w="100" w:type="dxa"/>
              <w:start w:w="80" w:type="dxa"/>
              <w:bottom w:w="100" w:type="dxa"/>
              <w:end w:w="80" w:type="dxa"/>
            </w:tcMar>
          </w:tcPr>
          <w:p>
            <w:pPr>
              <w:spacing w:after="0"/>
              <w:jc w:val="left"/>
            </w:pPr>
            <w:r>
              <w:rPr>
                <w:rFonts w:ascii="Inter" w:hAnsi="Inter"/>
                <w:b/>
                <w:color w:val="FFFFFF"/>
                <w:sz w:val="16"/>
              </w:rPr>
              <w:t>Management question</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rationale</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new information or priority justifies the request?</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deliverables, acceptance criteria or markets change?</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Schedule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milestones and dependencies move, and by how much?</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Resource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skills, teams or vendors must be added or reallocated?</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additional internal, media, production or technology cost is required?</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Do events, baselines, targets, test design or reporting change?</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and compliance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Does the change alter claims, consent, disclosures, data use or approval needs?</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Decision and baseline update</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Who approved the decision and where is the revised baseline recorded?</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6C4CF1"/>
            <w:tcMar>
              <w:top w:w="130" w:type="dxa"/>
              <w:start w:w="130" w:type="dxa"/>
              <w:bottom w:w="130" w:type="dxa"/>
              <w:end w:w="130" w:type="dxa"/>
            </w:tcMar>
            <w:tcBorders>
              <w:top w:val="nil"/>
              <w:left w:val="nil"/>
              <w:bottom w:val="nil"/>
              <w:right w:val="nil"/>
            </w:tcBorders>
          </w:tcPr>
          <w:p/>
        </w:tc>
        <w:tc>
          <w:tcPr>
            <w:tcW w:type="dxa" w:w="4968"/>
            <w:shd w:fill="EEEAFE"/>
            <w:tcMar>
              <w:top w:w="130" w:type="dxa"/>
              <w:start w:w="130" w:type="dxa"/>
              <w:bottom w:w="130" w:type="dxa"/>
              <w:end w:w="130" w:type="dxa"/>
            </w:tcMar>
            <w:tcBorders>
              <w:top w:val="nil"/>
              <w:left w:val="nil"/>
              <w:bottom w:val="nil"/>
              <w:right w:val="nil"/>
            </w:tcBorders>
          </w:tcPr>
          <w:p>
            <w:pPr>
              <w:spacing w:after="40"/>
            </w:pPr>
            <w:r>
              <w:rPr>
                <w:rFonts w:ascii="Inter" w:hAnsi="Inter"/>
                <w:b/>
                <w:color w:val="6C4CF1"/>
                <w:sz w:val="18"/>
              </w:rPr>
              <w:t>TRADE-OFF LANGUAGE</w:t>
            </w:r>
          </w:p>
          <w:p>
            <w:pPr>
              <w:spacing w:after="0" w:line="250" w:lineRule="auto"/>
            </w:pPr>
            <w:r>
              <w:rPr>
                <w:rFonts w:ascii="Inter" w:hAnsi="Inter"/>
                <w:color w:val="172033"/>
                <w:sz w:val="19"/>
              </w:rPr>
              <w:t>When a stakeholder requests additional work, respond with an explicit trade-off: add budget, extend time, add capacity, reduce other scope or accept a documented increase in risk.</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04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Build a three-level WBS for a campaign and define five milestone acceptance criteria. Then assess a late request for an additional channel, identifying impact, options, approval authority and revised baseline requirements.</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should a WBS be deliverable-oriented?</w:t>
            </w:r>
            <w:r>
              <w:br/>
            </w:r>
            <w:r>
              <w:rPr>
                <w:rFonts w:ascii="Inter" w:hAnsi="Inter"/>
                <w:color w:val="172033"/>
                <w:sz w:val="18"/>
              </w:rPr>
              <w:t>2. What separates a target date from a credible baseline date?</w:t>
            </w:r>
            <w:r>
              <w:br/>
            </w:r>
            <w:r>
              <w:rPr>
                <w:rFonts w:ascii="Inter" w:hAnsi="Inter"/>
                <w:color w:val="172033"/>
                <w:sz w:val="18"/>
              </w:rPr>
              <w:t>3. Which impacts must be assessed before a scope change is approved?</w:t>
            </w:r>
          </w:p>
        </w:tc>
      </w:tr>
    </w:tbl>
    <w:sectPr w:rsidR="00FC693F" w:rsidRPr="0006063C" w:rsidSect="00034616">
      <w:headerReference w:type="default" r:id="rId10"/>
      <w:footerReference w:type="default" r:id="rId11"/>
      <w:pgSz w:w="12240" w:h="15840"/>
      <w:pgMar w:top="1008" w:right="1080" w:bottom="936" w:left="1080"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C6B7A"/>
        <w:sz w:val="15"/>
      </w:rPr>
      <w:t>Prepared for Ahmed Labib  |  July 2026</w:t>
    </w:r>
  </w:p>
  <w:tbl>
    <w:tblPr>
      <w:tblW w:type="auto" w:w="0"/>
      <w:jc w:val="center"/>
      <w:tblLayout w:type="fixed"/>
      <w:tblLook w:firstColumn="1" w:firstRow="1" w:lastColumn="0" w:lastRow="0" w:noHBand="0" w:noVBand="1" w:val="04A0"/>
    </w:tblPr>
    <w:tblGrid>
      <w:gridCol w:w="3216"/>
      <w:gridCol w:w="3216"/>
      <w:gridCol w:w="3216"/>
    </w:tblGrid>
    <w:tr>
      <w:tc>
        <w:tcPr>
          <w:tcW w:type="dxa" w:w="3216"/>
          <w:tcMar>
            <w:top w:w="30" w:type="dxa"/>
            <w:start w:w="0" w:type="dxa"/>
            <w:bottom w:w="0" w:type="dxa"/>
            <w:end w:w="0" w:type="dxa"/>
          </w:tcMar>
          <w:tcBorders>
            <w:top w:val="single" w:sz="6" w:color="D9DFEA"/>
          </w:tcBorders>
        </w:tcPr>
        <w:p>
          <w:r>
            <w:rPr>
              <w:rFonts w:ascii="Inter" w:hAnsi="Inter"/>
              <w:color w:val="5E687B"/>
              <w:sz w:val="16"/>
            </w:rPr>
            <w:t>Ahmed Labib</w:t>
          </w:r>
        </w:p>
      </w:tc>
      <w:tc>
        <w:tcPr>
          <w:tcW w:type="dxa" w:w="3216"/>
          <w:tcMar>
            <w:top w:w="30" w:type="dxa"/>
            <w:start w:w="0" w:type="dxa"/>
            <w:bottom w:w="0" w:type="dxa"/>
            <w:end w:w="0" w:type="dxa"/>
          </w:tcMar>
          <w:tcBorders>
            <w:top w:val="single" w:sz="6" w:color="D9DFEA"/>
          </w:tcBorders>
        </w:tcPr>
        <w:p>
          <w:pPr>
            <w:jc w:val="center"/>
          </w:pPr>
          <w:r>
            <w:rPr>
              <w:rFonts w:ascii="Inter" w:hAnsi="Inter"/>
              <w:b/>
              <w:color w:val="6C4CF1"/>
              <w:sz w:val="16"/>
            </w:rPr>
            <w:t>CONFIDENTIAL</w:t>
          </w:r>
        </w:p>
      </w:tc>
      <w:tc>
        <w:tcPr>
          <w:tcW w:type="dxa" w:w="3216"/>
          <w:tcMar>
            <w:top w:w="30" w:type="dxa"/>
            <w:start w:w="0" w:type="dxa"/>
            <w:bottom w:w="0" w:type="dxa"/>
            <w:end w:w="0" w:type="dxa"/>
          </w:tcMar>
          <w:tcBorders>
            <w:top w:val="single" w:sz="6" w:color="D9DFEA"/>
          </w:tcBorders>
        </w:tcPr>
        <w:p>
          <w:pPr>
            <w:jc w:val="right"/>
          </w:pPr>
          <w:r>
            <w:rPr>
              <w:rFonts w:ascii="Inter" w:hAnsi="Inter"/>
              <w:color w:val="5E687B"/>
              <w:sz w:val="18"/>
            </w:rPr>
            <w:fldChar w:fldCharType="begin"/>
            <w:instrText xml:space="preserve"> PAGE </w:instrText>
            <w:fldChar w:fldCharType="end"/>
          </w:r>
        </w:p>
      </w:tc>
    </w:tr>
  </w:tbl>
  <w:p>
    <w:pPr>
      <w:jc w:val="right"/>
    </w:pPr>
    <w:r>
      <w:rPr>
        <w:color w:val="5C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E2EC"/>
      </w:pBdr>
    </w:pPr>
    <w:r>
      <w:rPr>
        <w:rFonts w:ascii="Arial" w:hAnsi="Arial"/>
        <w:b/>
        <w:color w:val="5C6B7A"/>
        <w:sz w:val="15"/>
      </w:rPr>
      <w:t>MARKETING PROJECT MANAGEMENT  |  LECTURE 04</w:t>
    </w:r>
  </w:p>
  <w:tbl>
    <w:tblPr>
      <w:tblW w:type="auto" w:w="0"/>
      <w:jc w:val="center"/>
      <w:tblLayout w:type="fixed"/>
      <w:tblLook w:firstColumn="1" w:firstRow="1" w:lastColumn="0" w:lastRow="0" w:noHBand="0" w:noVBand="1" w:val="04A0"/>
    </w:tblPr>
    <w:tblGrid>
      <w:gridCol w:w="6912"/>
      <w:gridCol w:w="2736"/>
    </w:tblGrid>
    <w:tr>
      <w:tc>
        <w:tcPr>
          <w:tcW w:type="dxa" w:w="4824"/>
          <w:tcMar>
            <w:top w:w="20" w:type="dxa"/>
            <w:start w:w="0" w:type="dxa"/>
            <w:bottom w:w="30" w:type="dxa"/>
            <w:end w:w="0" w:type="dxa"/>
          </w:tcMar>
          <w:tcBorders>
            <w:bottom w:val="single" w:sz="10" w:color="6C4CF1"/>
          </w:tcBorders>
        </w:tcPr>
        <w:p>
          <w:pPr>
            <w:spacing w:after="0"/>
          </w:pPr>
          <w:r>
            <w:rPr>
              <w:rFonts w:ascii="Inter" w:hAnsi="Inter"/>
              <w:b/>
              <w:i w:val="0"/>
              <w:color w:val="365F91"/>
              <w:sz w:val="16"/>
            </w:rPr>
            <w:t>MARKETING PROJECT MANAGEMENT COURSE</w:t>
          </w:r>
        </w:p>
      </w:tc>
      <w:tc>
        <w:tcPr>
          <w:tcW w:type="dxa" w:w="4824"/>
          <w:tcMar>
            <w:top w:w="20" w:type="dxa"/>
            <w:start w:w="0" w:type="dxa"/>
            <w:bottom w:w="30" w:type="dxa"/>
            <w:end w:w="0" w:type="dxa"/>
          </w:tcMar>
          <w:tcBorders>
            <w:bottom w:val="single" w:sz="10" w:color="6C4CF1"/>
          </w:tcBorders>
        </w:tcPr>
        <w:p>
          <w:pPr>
            <w:spacing w:after="0"/>
            <w:jc w:val="right"/>
          </w:pPr>
          <w:r>
            <w:rPr>
              <w:rFonts w:ascii="Inter" w:hAnsi="Inter"/>
              <w:b/>
              <w:i w:val="0"/>
              <w:color w:val="365F91"/>
              <w:sz w:val="16"/>
            </w:rPr>
            <w:t>13-LECTURE PROFESSIONAL EDITION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Inter" w:hAnsi="In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nist.gov/itl/ai-risk-management-framework" TargetMode="External"/><Relationship Id="rId17" Type="http://schemas.openxmlformats.org/officeDocument/2006/relationships/hyperlink" Target="https://support.google.com/analytics/answer/12966437?hl=en" TargetMode="External"/><Relationship Id="rId18" Type="http://schemas.openxmlformats.org/officeDocument/2006/relationships/hyperlink" Target="https://www.ftc.gov/business-guidance/resources/disclosures-101-social-media-influencers" TargetMode="External"/><Relationship Id="rId19" Type="http://schemas.openxmlformats.org/officeDocument/2006/relationships/hyperlink" Target="https://arxiv.org/abs/1901.05771" TargetMode="External"/><Relationship Id="rId20" Type="http://schemas.openxmlformats.org/officeDocument/2006/relationships/hyperlink" Target="https://arxiv.org/abs/2412.02041" TargetMode="External"/><Relationship Id="rId21" Type="http://schemas.openxmlformats.org/officeDocument/2006/relationships/hyperlink" Target="https://arxiv.org/abs/2203.00430" TargetMode="External"/><Relationship Id="rId22" Type="http://schemas.openxmlformats.org/officeDocument/2006/relationships/hyperlink" Target="https://arxiv.org/abs/1911.09964" TargetMode="External"/><Relationship Id="rId23" Type="http://schemas.openxmlformats.org/officeDocument/2006/relationships/hyperlink" Target="https://arxiv.org/abs/2605.14021" TargetMode="External"/><Relationship Id="rId2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04 - Planning, Scheduling And Change Control</dc:title>
  <dc:subject>Marketing Project Management Professional Course</dc:subject>
  <dc:creator>Ahmed Labib</dc:creator>
  <cp:keywords>marketing project management, governance, course, lecture</cp:keywords>
  <dc:description>Standalone lecture extracted from the premium professional course manual.</dc:description>
  <cp:lastModifiedBy/>
  <cp:revision>1</cp:revision>
  <dcterms:created xsi:type="dcterms:W3CDTF">2013-12-23T23:15:00Z</dcterms:created>
  <dcterms:modified xsi:type="dcterms:W3CDTF">2013-12-23T23:15:00Z</dcterms:modified>
  <cp:category/>
</cp:coreProperties>
</file>