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60"/>
        <w:gridCol w:w="3360"/>
        <w:gridCol w:w="3360"/>
      </w:tblGrid>
      <w:tr>
        <w:tc>
          <w:tcPr>
            <w:tcW w:type="dxa" w:w="3168"/>
            <w:shd w:fill="5A43D6"/>
            <w:tcMar>
              <w:top w:w="35" w:type="dxa"/>
              <w:start w:w="0" w:type="dxa"/>
              <w:bottom w:w="35" w:type="dxa"/>
              <w:end w:w="0" w:type="dxa"/>
            </w:tcMar>
          </w:tcPr>
          <w:p>
            <w:r/>
          </w:p>
        </w:tc>
        <w:tc>
          <w:tcPr>
            <w:tcW w:type="dxa" w:w="3168"/>
            <w:shd w:fill="00A7A7"/>
            <w:tcMar>
              <w:top w:w="35" w:type="dxa"/>
              <w:start w:w="0" w:type="dxa"/>
              <w:bottom w:w="35" w:type="dxa"/>
              <w:end w:w="0" w:type="dxa"/>
            </w:tcMar>
          </w:tcPr>
          <w:p>
            <w:r/>
          </w:p>
        </w:tc>
        <w:tc>
          <w:tcPr>
            <w:tcW w:type="dxa" w:w="3168"/>
            <w:shd w:fill="F2B84B"/>
            <w:tcMar>
              <w:top w:w="35" w:type="dxa"/>
              <w:start w:w="0" w:type="dxa"/>
              <w:bottom w:w="35" w:type="dxa"/>
              <w:end w:w="0" w:type="dxa"/>
            </w:tcMar>
          </w:tcPr>
          <w:p>
            <w:r/>
          </w:p>
        </w:tc>
      </w:tr>
    </w:tbl>
    <w:p>
      <w:pPr>
        <w:spacing w:before="480" w:after="40"/>
      </w:pPr>
      <w:r>
        <w:rPr>
          <w:rFonts w:ascii="Arial" w:hAnsi="Arial"/>
          <w:b/>
          <w:color w:val="5A43D6"/>
          <w:sz w:val="20"/>
        </w:rPr>
        <w:t>PROFESSIONAL COURSE SERIES</w:t>
      </w:r>
    </w:p>
    <w:p>
      <w:pPr>
        <w:spacing w:before="40" w:after="0"/>
      </w:pPr>
      <w:r>
        <w:rPr>
          <w:rFonts w:ascii="Arial" w:hAnsi="Arial"/>
          <w:b/>
          <w:color w:val="10243E"/>
          <w:sz w:val="60"/>
        </w:rPr>
        <w:t>MARKETING PROJECT</w:t>
      </w:r>
    </w:p>
    <w:p>
      <w:pPr>
        <w:spacing w:before="0" w:after="320"/>
        <w:pBdr>
          <w:bottom w:val="single" w:sz="24" w:space="5" w:color="00A7A7"/>
        </w:pBdr>
      </w:pPr>
      <w:r>
        <w:rPr>
          <w:rFonts w:ascii="Arial" w:hAnsi="Arial"/>
          <w:b/>
          <w:color w:val="10243E"/>
          <w:sz w:val="60"/>
        </w:rPr>
        <w:t>MANAGEMENT</w:t>
      </w:r>
    </w:p>
    <w:tbl>
      <w:tblPr>
        <w:tblW w:type="auto" w:w="0"/>
        <w:jc w:val="left"/>
        <w:tblLayout w:type="fixed"/>
        <w:tblLook w:firstColumn="1" w:firstRow="1" w:lastColumn="0" w:lastRow="0" w:noHBand="0" w:noVBand="1" w:val="04A0"/>
      </w:tblPr>
      <w:tblGrid>
        <w:gridCol w:w="5040"/>
        <w:gridCol w:w="5040"/>
      </w:tblGrid>
      <w:tr>
        <w:tc>
          <w:tcPr>
            <w:tcW w:type="dxa" w:w="2088"/>
            <w:shd w:fill="5A43D6"/>
            <w:vAlign w:val="center"/>
            <w:tcMar>
              <w:top w:w="180" w:type="dxa"/>
              <w:start w:w="190" w:type="dxa"/>
              <w:bottom w:w="180" w:type="dxa"/>
              <w:end w:w="190" w:type="dxa"/>
            </w:tcMar>
          </w:tcPr>
          <w:p>
            <w:pPr>
              <w:jc w:val="center"/>
            </w:pPr>
            <w:r>
              <w:rPr>
                <w:rFonts w:ascii="Arial" w:hAnsi="Arial"/>
                <w:b/>
                <w:color w:val="FFFFFF"/>
                <w:sz w:val="36"/>
              </w:rPr>
              <w:t>LECTURE</w:t>
              <w:br/>
              <w:t>05</w:t>
            </w:r>
          </w:p>
        </w:tc>
        <w:tc>
          <w:tcPr>
            <w:tcW w:type="dxa" w:w="7344"/>
            <w:shd w:fill="F3F6FA"/>
            <w:vAlign w:val="center"/>
            <w:tcMar>
              <w:top w:w="180" w:type="dxa"/>
              <w:start w:w="190" w:type="dxa"/>
              <w:bottom w:w="180" w:type="dxa"/>
              <w:end w:w="190" w:type="dxa"/>
            </w:tcMar>
          </w:tcPr>
          <w:p>
            <w:pPr>
              <w:spacing w:after="0"/>
            </w:pPr>
            <w:r>
              <w:rPr>
                <w:rFonts w:ascii="Arial" w:hAnsi="Arial"/>
                <w:b/>
                <w:color w:val="1B2638"/>
                <w:sz w:val="32"/>
              </w:rPr>
              <w:t>RESOURCE AND CAPACITY MANAGEMENT</w:t>
            </w:r>
          </w:p>
        </w:tc>
      </w:tr>
    </w:tbl>
    <w:p>
      <w:pPr>
        <w:spacing w:before="440" w:after="120"/>
      </w:pPr>
      <w:r>
        <w:rPr>
          <w:rFonts w:ascii="Arial" w:hAnsi="Arial"/>
          <w:b/>
          <w:color w:val="00A7A7"/>
          <w:sz w:val="19"/>
        </w:rPr>
        <w:t>COURSE POSITIONING</w:t>
      </w:r>
    </w:p>
    <w:p>
      <w:pPr>
        <w:spacing w:after="360"/>
      </w:pPr>
      <w:r>
        <w:rPr>
          <w:rFonts w:ascii="Arial" w:hAnsi="Arial"/>
          <w:color w:val="5C6B7A"/>
          <w:sz w:val="24"/>
        </w:rPr>
        <w:t>Strategy  |  Governance  |  Delivery  |  Measurement  |  Applied Learning</w:t>
      </w:r>
    </w:p>
    <w:tbl>
      <w:tblPr>
        <w:tblW w:type="auto" w:w="0"/>
        <w:jc w:val="left"/>
        <w:tblLayout w:type="fixed"/>
        <w:tblLook w:firstColumn="1" w:firstRow="1" w:lastColumn="0" w:lastRow="0" w:noHBand="0" w:noVBand="1" w:val="04A0"/>
      </w:tblPr>
      <w:tblGrid>
        <w:gridCol w:w="5040"/>
        <w:gridCol w:w="5040"/>
      </w:tblGrid>
      <w:tr>
        <w:tc>
          <w:tcPr>
            <w:tcW w:type="dxa" w:w="2088"/>
            <w:shd w:fill="10243E"/>
            <w:vAlign w:val="center"/>
            <w:tcMar>
              <w:top w:w="105" w:type="dxa"/>
              <w:start w:w="140" w:type="dxa"/>
              <w:bottom w:w="105" w:type="dxa"/>
              <w:end w:w="140" w:type="dxa"/>
            </w:tcMar>
          </w:tcPr>
          <w:p>
            <w:r>
              <w:rPr>
                <w:rFonts w:ascii="Arial" w:hAnsi="Arial"/>
                <w:b/>
                <w:color w:val="FFFFFF"/>
                <w:sz w:val="17"/>
              </w:rPr>
              <w:t>PREPARED FOR</w:t>
            </w:r>
          </w:p>
        </w:tc>
        <w:tc>
          <w:tcPr>
            <w:tcW w:type="dxa" w:w="7344"/>
            <w:shd w:fill="FFFFFF"/>
            <w:vAlign w:val="center"/>
            <w:tcMar>
              <w:top w:w="105" w:type="dxa"/>
              <w:start w:w="140" w:type="dxa"/>
              <w:bottom w:w="105" w:type="dxa"/>
              <w:end w:w="140" w:type="dxa"/>
            </w:tcMar>
          </w:tcPr>
          <w:p>
            <w:r>
              <w:rPr>
                <w:rFonts w:ascii="Arial" w:hAnsi="Arial"/>
                <w:color w:val="1B2638"/>
                <w:sz w:val="19"/>
              </w:rPr>
              <w:t>Ahmed Labib</w:t>
            </w:r>
          </w:p>
        </w:tc>
      </w:tr>
      <w:tr>
        <w:tc>
          <w:tcPr>
            <w:tcW w:type="dxa" w:w="2088"/>
            <w:shd w:fill="10243E"/>
            <w:vAlign w:val="center"/>
            <w:tcMar>
              <w:top w:w="105" w:type="dxa"/>
              <w:start w:w="140" w:type="dxa"/>
              <w:bottom w:w="105" w:type="dxa"/>
              <w:end w:w="140" w:type="dxa"/>
            </w:tcMar>
          </w:tcPr>
          <w:p>
            <w:r>
              <w:rPr>
                <w:rFonts w:ascii="Arial" w:hAnsi="Arial"/>
                <w:b/>
                <w:color w:val="FFFFFF"/>
                <w:sz w:val="17"/>
              </w:rPr>
              <w:t>EDITION</w:t>
            </w:r>
          </w:p>
        </w:tc>
        <w:tc>
          <w:tcPr>
            <w:tcW w:type="dxa" w:w="7344"/>
            <w:shd w:fill="F3F6FA"/>
            <w:vAlign w:val="center"/>
            <w:tcMar>
              <w:top w:w="105" w:type="dxa"/>
              <w:start w:w="140" w:type="dxa"/>
              <w:bottom w:w="105" w:type="dxa"/>
              <w:end w:w="140" w:type="dxa"/>
            </w:tcMar>
          </w:tcPr>
          <w:p>
            <w:r>
              <w:rPr>
                <w:rFonts w:ascii="Arial" w:hAnsi="Arial"/>
                <w:color w:val="1B2638"/>
                <w:sz w:val="19"/>
              </w:rPr>
              <w:t>Lecture-Based Professional Course</w:t>
            </w:r>
          </w:p>
        </w:tc>
      </w:tr>
      <w:tr>
        <w:tc>
          <w:tcPr>
            <w:tcW w:type="dxa" w:w="2088"/>
            <w:shd w:fill="10243E"/>
            <w:vAlign w:val="center"/>
            <w:tcMar>
              <w:top w:w="105" w:type="dxa"/>
              <w:start w:w="140" w:type="dxa"/>
              <w:bottom w:w="105" w:type="dxa"/>
              <w:end w:w="140" w:type="dxa"/>
            </w:tcMar>
          </w:tcPr>
          <w:p>
            <w:r>
              <w:rPr>
                <w:rFonts w:ascii="Arial" w:hAnsi="Arial"/>
                <w:b/>
                <w:color w:val="FFFFFF"/>
                <w:sz w:val="17"/>
              </w:rPr>
              <w:t>ISSUE DATE</w:t>
            </w:r>
          </w:p>
        </w:tc>
        <w:tc>
          <w:tcPr>
            <w:tcW w:type="dxa" w:w="7344"/>
            <w:shd w:fill="FFFFFF"/>
            <w:vAlign w:val="center"/>
            <w:tcMar>
              <w:top w:w="105" w:type="dxa"/>
              <w:start w:w="140" w:type="dxa"/>
              <w:bottom w:w="105" w:type="dxa"/>
              <w:end w:w="140" w:type="dxa"/>
            </w:tcMar>
          </w:tcPr>
          <w:p>
            <w:r>
              <w:rPr>
                <w:rFonts w:ascii="Arial" w:hAnsi="Arial"/>
                <w:color w:val="1B2638"/>
                <w:sz w:val="19"/>
              </w:rPr>
              <w:t>July 2026</w:t>
            </w:r>
          </w:p>
        </w:tc>
      </w:tr>
    </w:tbl>
    <w:p>
      <w:pPr>
        <w:spacing w:before="480" w:after="0"/>
      </w:pPr>
      <w:r>
        <w:rPr>
          <w:rFonts w:ascii="Arial" w:hAnsi="Arial"/>
          <w:i/>
          <w:color w:val="5C6B7A"/>
          <w:sz w:val="18"/>
        </w:rPr>
        <w:t>A standalone lecture from the premium Marketing Project Management professional course.</w:t>
      </w:r>
    </w:p>
    <w:p>
      <w:pPr>
        <w:spacing w:before="160" w:after="0"/>
      </w:pPr>
      <w:r>
        <w:rPr>
          <w:rFonts w:ascii="Arial" w:hAnsi="Arial"/>
          <w:b/>
          <w:color w:val="5A43D6"/>
          <w:sz w:val="17"/>
        </w:rPr>
        <w:t>CONFIDENTIAL  |  PROFESSIONAL LEARNING MATERIAL</w:t>
      </w:r>
    </w:p>
    <w:p>
      <w:pPr>
        <w:spacing w:after="0"/>
      </w:pPr>
      <w:r>
        <w:br w:type="page"/>
      </w:r>
    </w:p>
    <w:p>
      <w:pPr>
        <w:pStyle w:val="Heading1"/>
        <w:keepNext/>
        <w:pageBreakBefore w:val="0"/>
        <w:widowControl/>
        <w:spacing w:before="0" w:after="80"/>
      </w:pPr>
      <w:r>
        <w:rPr>
          <w:rFonts w:ascii="Inter" w:hAnsi="Inter"/>
          <w:b/>
          <w:color w:val="365F91"/>
          <w:sz w:val="28"/>
        </w:rPr>
        <w:t>LECTURE 05  |  RESOURCE AND CAPACITY MANAGEMENT</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Balancing skills, workload, utilization and delivery resilience</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05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Forecast demand by role, skill, period and priority.</w:t>
            </w:r>
            <w:r>
              <w:br/>
            </w:r>
            <w:r>
              <w:rPr>
                <w:rFonts w:ascii="Inter" w:hAnsi="Inter"/>
                <w:b w:val="0"/>
                <w:color w:val="172033"/>
                <w:sz w:val="18"/>
              </w:rPr>
              <w:t>2. Interpret utilization without incentivizing overload or local optimization.</w:t>
            </w:r>
            <w:r>
              <w:br/>
            </w:r>
            <w:r>
              <w:rPr>
                <w:rFonts w:ascii="Inter" w:hAnsi="Inter"/>
                <w:b w:val="0"/>
                <w:color w:val="172033"/>
                <w:sz w:val="18"/>
              </w:rPr>
              <w:t>3. Select practical interventions for shortages, bottlenecks and delivery risk.</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capacity principles  |  25 min demand and supply model  |  20 min utilization  |  25 min heatmap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Four-week role-based capacity and intervention plan.</w:t>
            </w:r>
          </w:p>
        </w:tc>
      </w:tr>
    </w:tbl>
    <w:p/>
    <w:p>
      <w:pPr>
        <w:pStyle w:val="Heading2"/>
        <w:keepNext/>
        <w:widowControl/>
        <w:spacing w:before="240" w:after="100"/>
      </w:pPr>
      <w:r>
        <w:rPr>
          <w:rFonts w:ascii="Inter" w:hAnsi="Inter"/>
          <w:b/>
          <w:color w:val="0B1739"/>
          <w:sz w:val="28"/>
        </w:rPr>
        <w:t>5.1 Why marketing capacity is difficult</w:t>
      </w:r>
    </w:p>
    <w:p>
      <w:pPr>
        <w:pStyle w:val="BodyText"/>
        <w:widowControl/>
        <w:spacing w:after="120" w:line="259" w:lineRule="auto"/>
        <w:jc w:val="both"/>
      </w:pPr>
      <w:r>
        <w:rPr>
          <w:rFonts w:ascii="Inter" w:hAnsi="Inter"/>
          <w:color w:val="172033"/>
          <w:sz w:val="20"/>
        </w:rPr>
        <w:t>Marketing projects combine creative, analytical, technical, commercial and governance roles whose availability is rarely interchangeable. A designer’s unused hours cannot automatically offset a shortage of marketing automation specialists or legal reviewers. Project counts are therefore a weak workload measure; capacity should be assessed by role, skill, timing, complexity and interruption load.</w:t>
      </w:r>
    </w:p>
    <w:p>
      <w:pPr>
        <w:pStyle w:val="Heading2"/>
        <w:keepNext/>
        <w:widowControl/>
        <w:spacing w:before="240" w:after="100"/>
      </w:pPr>
      <w:r>
        <w:rPr>
          <w:rFonts w:ascii="Inter" w:hAnsi="Inter"/>
          <w:b/>
          <w:color w:val="0B1739"/>
          <w:sz w:val="28"/>
        </w:rPr>
        <w:t>5.2 Capacity planning model</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0B1739"/>
            <w:tcMar>
              <w:top w:w="100" w:type="dxa"/>
              <w:start w:w="80" w:type="dxa"/>
              <w:bottom w:w="100" w:type="dxa"/>
              <w:end w:w="80" w:type="dxa"/>
            </w:tcMar>
          </w:tcPr>
          <w:p>
            <w:pPr>
              <w:spacing w:after="0"/>
              <w:jc w:val="left"/>
            </w:pPr>
            <w:r>
              <w:rPr>
                <w:rFonts w:ascii="Inter" w:hAnsi="Inter"/>
                <w:b/>
                <w:color w:val="FFFFFF"/>
                <w:sz w:val="16"/>
              </w:rPr>
              <w:t>Planning layer</w:t>
            </w:r>
          </w:p>
        </w:tc>
        <w:tc>
          <w:tcPr>
            <w:tcW w:type="dxa" w:w="4536"/>
            <w:shd w:fill="0B1739"/>
            <w:tcMar>
              <w:top w:w="100" w:type="dxa"/>
              <w:start w:w="80" w:type="dxa"/>
              <w:bottom w:w="100" w:type="dxa"/>
              <w:end w:w="80" w:type="dxa"/>
            </w:tcMar>
          </w:tcPr>
          <w:p>
            <w:pPr>
              <w:spacing w:after="0"/>
              <w:jc w:val="left"/>
            </w:pPr>
            <w:r>
              <w:rPr>
                <w:rFonts w:ascii="Inter" w:hAnsi="Inter"/>
                <w:b/>
                <w:color w:val="FFFFFF"/>
                <w:sz w:val="16"/>
              </w:rPr>
              <w:t>Required analysis</w:t>
            </w:r>
          </w:p>
        </w:tc>
        <w:tc>
          <w:tcPr>
            <w:tcW w:type="dxa" w:w="2736"/>
            <w:shd w:fill="0B1739"/>
            <w:tcMar>
              <w:top w:w="100" w:type="dxa"/>
              <w:start w:w="80" w:type="dxa"/>
              <w:bottom w:w="100" w:type="dxa"/>
              <w:end w:w="80" w:type="dxa"/>
            </w:tcMar>
          </w:tcPr>
          <w:p>
            <w:pPr>
              <w:spacing w:after="0"/>
              <w:jc w:val="left"/>
            </w:pPr>
            <w:r>
              <w:rPr>
                <w:rFonts w:ascii="Inter" w:hAnsi="Inter"/>
                <w:b/>
                <w:color w:val="FFFFFF"/>
                <w:sz w:val="16"/>
              </w:rPr>
              <w:t>Key output</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Demand forecast</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Approved and probable projects by campaign type, timing and complexity.</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Forward workload by workstream and skill.</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Supply forecast</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Available hours adjusted for leave, non-project work, training and realistic productivity.</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Net capacity by person, role and period.</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Skill fit</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Required proficiency, seniority and domain knowledge.</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Qualified capacity, not gross headcount.</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Allocation</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Priority, dependency, continuity and critical-path needs.</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Time-phased assignment plan.</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Utilization guardrails</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Billable/project work, non-project obligations and recovery time.</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Sustainable workload bands.</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Contingency</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Single points of failure, leave, vendor delays and surge requirements.</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Back-up coverage and escalation triggers.</w:t>
            </w:r>
          </w:p>
        </w:tc>
      </w:tr>
    </w:tbl>
    <w:p>
      <w:pPr>
        <w:widowControl/>
        <w:spacing w:after="0"/>
      </w:pPr>
    </w:p>
    <w:p>
      <w:pPr>
        <w:pStyle w:val="Heading2"/>
        <w:keepNext/>
        <w:widowControl/>
        <w:spacing w:before="240" w:after="100"/>
      </w:pPr>
      <w:r>
        <w:rPr>
          <w:rFonts w:ascii="Inter" w:hAnsi="Inter"/>
          <w:b/>
          <w:color w:val="0B1739"/>
          <w:sz w:val="28"/>
        </w:rPr>
        <w:t>5.3 Utilization: use with care</w:t>
      </w:r>
    </w:p>
    <w:p>
      <w:pPr>
        <w:pStyle w:val="BodyText"/>
        <w:widowControl/>
        <w:spacing w:after="120" w:line="259" w:lineRule="auto"/>
        <w:jc w:val="both"/>
      </w:pPr>
      <w:r>
        <w:rPr>
          <w:rFonts w:ascii="Inter" w:hAnsi="Inter"/>
          <w:color w:val="172033"/>
          <w:sz w:val="20"/>
        </w:rPr>
        <w:t>The source presents utilization as an important efficiency indicator. [S1] It is useful, particularly in agencies, but should not be maximized in isolation. Persistently high utilization can reduce time for quality review, experimentation, learning, mentoring and recovery. Persistently low utilization can indicate weak demand, poor intake, blocked work, inaccurate time capture or capability mismatch.</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0B1739"/>
            <w:tcMar>
              <w:top w:w="100" w:type="dxa"/>
              <w:start w:w="80" w:type="dxa"/>
              <w:bottom w:w="100" w:type="dxa"/>
              <w:end w:w="80" w:type="dxa"/>
            </w:tcMar>
          </w:tcPr>
          <w:p>
            <w:pPr>
              <w:spacing w:after="0"/>
              <w:jc w:val="left"/>
            </w:pPr>
            <w:r>
              <w:rPr>
                <w:rFonts w:ascii="Inter" w:hAnsi="Inter"/>
                <w:b/>
                <w:color w:val="FFFFFF"/>
                <w:sz w:val="16"/>
              </w:rPr>
              <w:t>Indicator</w:t>
            </w:r>
          </w:p>
        </w:tc>
        <w:tc>
          <w:tcPr>
            <w:tcW w:type="dxa" w:w="3600"/>
            <w:shd w:fill="0B1739"/>
            <w:tcMar>
              <w:top w:w="100" w:type="dxa"/>
              <w:start w:w="80" w:type="dxa"/>
              <w:bottom w:w="100" w:type="dxa"/>
              <w:end w:w="80" w:type="dxa"/>
            </w:tcMar>
          </w:tcPr>
          <w:p>
            <w:pPr>
              <w:spacing w:after="0"/>
              <w:jc w:val="left"/>
            </w:pPr>
            <w:r>
              <w:rPr>
                <w:rFonts w:ascii="Inter" w:hAnsi="Inter"/>
                <w:b/>
                <w:color w:val="FFFFFF"/>
                <w:sz w:val="16"/>
              </w:rPr>
              <w:t>Healthy interpretation</w:t>
            </w:r>
          </w:p>
        </w:tc>
        <w:tc>
          <w:tcPr>
            <w:tcW w:type="dxa" w:w="3528"/>
            <w:shd w:fill="0B1739"/>
            <w:tcMar>
              <w:top w:w="100" w:type="dxa"/>
              <w:start w:w="80" w:type="dxa"/>
              <w:bottom w:w="100" w:type="dxa"/>
              <w:end w:w="80" w:type="dxa"/>
            </w:tcMar>
          </w:tcPr>
          <w:p>
            <w:pPr>
              <w:spacing w:after="0"/>
              <w:jc w:val="left"/>
            </w:pPr>
            <w:r>
              <w:rPr>
                <w:rFonts w:ascii="Inter" w:hAnsi="Inter"/>
                <w:b/>
                <w:color w:val="FFFFFF"/>
                <w:sz w:val="16"/>
              </w:rPr>
              <w:t>Failure signal</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Planned utilization</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Within a role-specific target that reserves time for non-project obligations.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Plans assume all nominal hours are productive.</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Actual utilization</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Consistent with completed value and quality.</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High hours with low throughput or rework.</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Allocation stability</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Critical resources remain focused through key deliverables.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Frequent context switching and priority churn.</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Overtime / after-hours work</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Exceptional and time-bound.</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Becomes the hidden mechanism for meeting baseline dates.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Work-in-progress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Limited to an agreed level per team or specialist.</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Many open tasks and long cycle times.</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Skill concentration</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Critical knowledge has documented back-up.</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One individual becomes a permanent bottleneck.</w:t>
            </w:r>
          </w:p>
        </w:tc>
      </w:tr>
    </w:tbl>
    <w:p>
      <w:pPr>
        <w:widowControl/>
        <w:spacing w:after="0"/>
      </w:pPr>
    </w:p>
    <w:p>
      <w:pPr>
        <w:pStyle w:val="Heading2"/>
        <w:keepNext/>
        <w:widowControl/>
        <w:spacing w:before="240" w:after="100"/>
      </w:pPr>
      <w:r>
        <w:rPr>
          <w:rFonts w:ascii="Inter" w:hAnsi="Inter"/>
          <w:b/>
          <w:color w:val="0B1739"/>
          <w:sz w:val="28"/>
        </w:rPr>
        <w:t>5.4 Resource interventions</w:t>
      </w:r>
    </w:p>
    <w:p>
      <w:pPr>
        <w:pStyle w:val="ListBullet"/>
        <w:widowControl/>
        <w:spacing w:after="60" w:line="247" w:lineRule="auto"/>
        <w:ind w:left="317" w:hanging="187"/>
      </w:pPr>
      <w:r>
        <w:rPr>
          <w:rFonts w:ascii="Inter" w:hAnsi="Inter"/>
          <w:color w:val="172033"/>
          <w:sz w:val="19"/>
        </w:rPr>
        <w:t>Resequence non-critical work to protect launch-critical specialists.</w:t>
      </w:r>
    </w:p>
    <w:p>
      <w:pPr>
        <w:pStyle w:val="ListBullet"/>
        <w:widowControl/>
        <w:spacing w:after="60" w:line="247" w:lineRule="auto"/>
        <w:ind w:left="317" w:hanging="187"/>
      </w:pPr>
      <w:r>
        <w:rPr>
          <w:rFonts w:ascii="Inter" w:hAnsi="Inter"/>
          <w:color w:val="172033"/>
          <w:sz w:val="19"/>
        </w:rPr>
        <w:t>Reduce concurrent work and create WIP limits for scarce functions.</w:t>
      </w:r>
    </w:p>
    <w:p>
      <w:pPr>
        <w:pStyle w:val="ListBullet"/>
        <w:widowControl/>
        <w:spacing w:after="60" w:line="247" w:lineRule="auto"/>
        <w:ind w:left="317" w:hanging="187"/>
      </w:pPr>
      <w:r>
        <w:rPr>
          <w:rFonts w:ascii="Inter" w:hAnsi="Inter"/>
          <w:color w:val="172033"/>
          <w:sz w:val="19"/>
        </w:rPr>
        <w:t>Cross-train staff and document repeatable procedures for critical tasks.</w:t>
      </w:r>
    </w:p>
    <w:p>
      <w:pPr>
        <w:pStyle w:val="ListBullet"/>
        <w:widowControl/>
        <w:spacing w:after="60" w:line="247" w:lineRule="auto"/>
        <w:ind w:left="317" w:hanging="187"/>
      </w:pPr>
      <w:r>
        <w:rPr>
          <w:rFonts w:ascii="Inter" w:hAnsi="Inter"/>
          <w:color w:val="172033"/>
          <w:sz w:val="19"/>
        </w:rPr>
        <w:t>Use pre-qualified vendors for controlled surge capacity or specialist delivery.</w:t>
      </w:r>
    </w:p>
    <w:p>
      <w:pPr>
        <w:pStyle w:val="ListBullet"/>
        <w:widowControl/>
        <w:spacing w:after="60" w:line="247" w:lineRule="auto"/>
        <w:ind w:left="317" w:hanging="187"/>
      </w:pPr>
      <w:r>
        <w:rPr>
          <w:rFonts w:ascii="Inter" w:hAnsi="Inter"/>
          <w:color w:val="172033"/>
          <w:sz w:val="19"/>
        </w:rPr>
        <w:t>Standardize templates, reusable assets and approval packs to reduce avoidable effort.</w:t>
      </w:r>
    </w:p>
    <w:p>
      <w:pPr>
        <w:pStyle w:val="ListBullet"/>
        <w:widowControl/>
        <w:spacing w:after="60" w:line="247" w:lineRule="auto"/>
        <w:ind w:left="317" w:hanging="187"/>
      </w:pPr>
      <w:r>
        <w:rPr>
          <w:rFonts w:ascii="Inter" w:hAnsi="Inter"/>
          <w:color w:val="172033"/>
          <w:sz w:val="19"/>
        </w:rPr>
        <w:t>Escalate demand-capacity gaps early with quantified business trade-offs.</w:t>
      </w: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05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Create a simple capacity heatmap for design, copy, analytics and web development. Identify over-allocation, under-allocation and single-point-of-failure risks; recommend resequencing, WIP limits, cross-training or controlled vendor support.</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can very high utilization reduce delivery performance?</w:t>
            </w:r>
            <w:r>
              <w:br/>
            </w:r>
            <w:r>
              <w:rPr>
                <w:rFonts w:ascii="Inter" w:hAnsi="Inter"/>
                <w:color w:val="172033"/>
                <w:sz w:val="18"/>
              </w:rPr>
              <w:t>2. What information is required before assigning work to a resource?</w:t>
            </w:r>
            <w:r>
              <w:br/>
            </w:r>
            <w:r>
              <w:rPr>
                <w:rFonts w:ascii="Inter" w:hAnsi="Inter"/>
                <w:color w:val="172033"/>
                <w:sz w:val="18"/>
              </w:rPr>
              <w:t>3. Which interventions protect the critical path without creating hidden cost?</w:t>
            </w:r>
          </w:p>
        </w:tc>
      </w:tr>
    </w:tbl>
    <w:sectPr w:rsidR="00FC693F" w:rsidRPr="0006063C" w:rsidSect="00034616">
      <w:headerReference w:type="default" r:id="rId10"/>
      <w:footerReference w:type="default" r:id="rId11"/>
      <w:pgSz w:w="12240" w:h="15840"/>
      <w:pgMar w:top="1008" w:right="1080" w:bottom="936" w:left="1080"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C6B7A"/>
        <w:sz w:val="15"/>
      </w:rPr>
      <w:t>Prepared for Ahmed Labib  |  July 2026</w:t>
    </w:r>
  </w:p>
  <w:tbl>
    <w:tblPr>
      <w:tblW w:type="auto" w:w="0"/>
      <w:jc w:val="center"/>
      <w:tblLayout w:type="fixed"/>
      <w:tblLook w:firstColumn="1" w:firstRow="1" w:lastColumn="0" w:lastRow="0" w:noHBand="0" w:noVBand="1" w:val="04A0"/>
    </w:tblPr>
    <w:tblGrid>
      <w:gridCol w:w="3216"/>
      <w:gridCol w:w="3216"/>
      <w:gridCol w:w="3216"/>
    </w:tblGrid>
    <w:tr>
      <w:tc>
        <w:tcPr>
          <w:tcW w:type="dxa" w:w="3216"/>
          <w:tcMar>
            <w:top w:w="30" w:type="dxa"/>
            <w:start w:w="0" w:type="dxa"/>
            <w:bottom w:w="0" w:type="dxa"/>
            <w:end w:w="0" w:type="dxa"/>
          </w:tcMar>
          <w:tcBorders>
            <w:top w:val="single" w:sz="6" w:color="D9DFEA"/>
          </w:tcBorders>
        </w:tcPr>
        <w:p>
          <w:r>
            <w:rPr>
              <w:rFonts w:ascii="Inter" w:hAnsi="Inter"/>
              <w:color w:val="5E687B"/>
              <w:sz w:val="16"/>
            </w:rPr>
            <w:t>Ahmed Labib</w:t>
          </w:r>
        </w:p>
      </w:tc>
      <w:tc>
        <w:tcPr>
          <w:tcW w:type="dxa" w:w="3216"/>
          <w:tcMar>
            <w:top w:w="30" w:type="dxa"/>
            <w:start w:w="0" w:type="dxa"/>
            <w:bottom w:w="0" w:type="dxa"/>
            <w:end w:w="0" w:type="dxa"/>
          </w:tcMar>
          <w:tcBorders>
            <w:top w:val="single" w:sz="6" w:color="D9DFEA"/>
          </w:tcBorders>
        </w:tcPr>
        <w:p>
          <w:pPr>
            <w:jc w:val="center"/>
          </w:pPr>
          <w:r>
            <w:rPr>
              <w:rFonts w:ascii="Inter" w:hAnsi="Inter"/>
              <w:b/>
              <w:color w:val="6C4CF1"/>
              <w:sz w:val="16"/>
            </w:rPr>
            <w:t>CONFIDENTIAL</w:t>
          </w:r>
        </w:p>
      </w:tc>
      <w:tc>
        <w:tcPr>
          <w:tcW w:type="dxa" w:w="3216"/>
          <w:tcMar>
            <w:top w:w="30" w:type="dxa"/>
            <w:start w:w="0" w:type="dxa"/>
            <w:bottom w:w="0" w:type="dxa"/>
            <w:end w:w="0" w:type="dxa"/>
          </w:tcMar>
          <w:tcBorders>
            <w:top w:val="single" w:sz="6" w:color="D9DFEA"/>
          </w:tcBorders>
        </w:tcPr>
        <w:p>
          <w:pPr>
            <w:jc w:val="right"/>
          </w:pPr>
          <w:r>
            <w:rPr>
              <w:rFonts w:ascii="Inter" w:hAnsi="Inter"/>
              <w:color w:val="5E687B"/>
              <w:sz w:val="18"/>
            </w:rPr>
            <w:fldChar w:fldCharType="begin"/>
            <w:instrText xml:space="preserve"> PAGE </w:instrText>
            <w:fldChar w:fldCharType="end"/>
          </w:r>
        </w:p>
      </w:tc>
    </w:tr>
  </w:tbl>
  <w:p>
    <w:pPr>
      <w:jc w:val="right"/>
    </w:pPr>
    <w:r>
      <w:rPr>
        <w:color w:val="5C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9E2EC"/>
      </w:pBdr>
    </w:pPr>
    <w:r>
      <w:rPr>
        <w:rFonts w:ascii="Arial" w:hAnsi="Arial"/>
        <w:b/>
        <w:color w:val="5C6B7A"/>
        <w:sz w:val="15"/>
      </w:rPr>
      <w:t>MARKETING PROJECT MANAGEMENT  |  LECTURE 05</w:t>
    </w:r>
  </w:p>
  <w:tbl>
    <w:tblPr>
      <w:tblW w:type="auto" w:w="0"/>
      <w:jc w:val="center"/>
      <w:tblLayout w:type="fixed"/>
      <w:tblLook w:firstColumn="1" w:firstRow="1" w:lastColumn="0" w:lastRow="0" w:noHBand="0" w:noVBand="1" w:val="04A0"/>
    </w:tblPr>
    <w:tblGrid>
      <w:gridCol w:w="6912"/>
      <w:gridCol w:w="2736"/>
    </w:tblGrid>
    <w:tr>
      <w:tc>
        <w:tcPr>
          <w:tcW w:type="dxa" w:w="4824"/>
          <w:tcMar>
            <w:top w:w="20" w:type="dxa"/>
            <w:start w:w="0" w:type="dxa"/>
            <w:bottom w:w="30" w:type="dxa"/>
            <w:end w:w="0" w:type="dxa"/>
          </w:tcMar>
          <w:tcBorders>
            <w:bottom w:val="single" w:sz="10" w:color="6C4CF1"/>
          </w:tcBorders>
        </w:tcPr>
        <w:p>
          <w:pPr>
            <w:spacing w:after="0"/>
          </w:pPr>
          <w:r>
            <w:rPr>
              <w:rFonts w:ascii="Inter" w:hAnsi="Inter"/>
              <w:b/>
              <w:i w:val="0"/>
              <w:color w:val="365F91"/>
              <w:sz w:val="16"/>
            </w:rPr>
            <w:t>MARKETING PROJECT MANAGEMENT COURSE</w:t>
          </w:r>
        </w:p>
      </w:tc>
      <w:tc>
        <w:tcPr>
          <w:tcW w:type="dxa" w:w="4824"/>
          <w:tcMar>
            <w:top w:w="20" w:type="dxa"/>
            <w:start w:w="0" w:type="dxa"/>
            <w:bottom w:w="30" w:type="dxa"/>
            <w:end w:w="0" w:type="dxa"/>
          </w:tcMar>
          <w:tcBorders>
            <w:bottom w:val="single" w:sz="10" w:color="6C4CF1"/>
          </w:tcBorders>
        </w:tcPr>
        <w:p>
          <w:pPr>
            <w:spacing w:after="0"/>
            <w:jc w:val="right"/>
          </w:pPr>
          <w:r>
            <w:rPr>
              <w:rFonts w:ascii="Inter" w:hAnsi="Inter"/>
              <w:b/>
              <w:i w:val="0"/>
              <w:color w:val="365F91"/>
              <w:sz w:val="16"/>
            </w:rPr>
            <w:t>13-LECTURE PROFESSIONAL EDITION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Inter" w:hAnsi="Inter"/>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Inter" w:hAnsi="Inte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rPr>
      <w:rFonts w:ascii="Inter" w:hAnsi="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nist.gov/itl/ai-risk-management-framework" TargetMode="External"/><Relationship Id="rId17" Type="http://schemas.openxmlformats.org/officeDocument/2006/relationships/hyperlink" Target="https://support.google.com/analytics/answer/12966437?hl=en" TargetMode="External"/><Relationship Id="rId18" Type="http://schemas.openxmlformats.org/officeDocument/2006/relationships/hyperlink" Target="https://www.ftc.gov/business-guidance/resources/disclosures-101-social-media-influencers" TargetMode="External"/><Relationship Id="rId19" Type="http://schemas.openxmlformats.org/officeDocument/2006/relationships/hyperlink" Target="https://arxiv.org/abs/1901.05771" TargetMode="External"/><Relationship Id="rId20" Type="http://schemas.openxmlformats.org/officeDocument/2006/relationships/hyperlink" Target="https://arxiv.org/abs/2412.02041" TargetMode="External"/><Relationship Id="rId21" Type="http://schemas.openxmlformats.org/officeDocument/2006/relationships/hyperlink" Target="https://arxiv.org/abs/2203.00430" TargetMode="External"/><Relationship Id="rId22" Type="http://schemas.openxmlformats.org/officeDocument/2006/relationships/hyperlink" Target="https://arxiv.org/abs/1911.09964" TargetMode="External"/><Relationship Id="rId23" Type="http://schemas.openxmlformats.org/officeDocument/2006/relationships/hyperlink" Target="https://arxiv.org/abs/2605.14021" TargetMode="External"/><Relationship Id="rId2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05 - Resource And Capacity Management</dc:title>
  <dc:subject>Marketing Project Management Professional Course</dc:subject>
  <dc:creator>Ahmed Labib</dc:creator>
  <cp:keywords>marketing project management, governance, course, lecture</cp:keywords>
  <dc:description>Standalone lecture extracted from the premium professional course manual.</dc:description>
  <cp:lastModifiedBy/>
  <cp:revision>1</cp:revision>
  <dcterms:created xsi:type="dcterms:W3CDTF">2013-12-23T23:15:00Z</dcterms:created>
  <dcterms:modified xsi:type="dcterms:W3CDTF">2013-12-23T23:15:00Z</dcterms:modified>
  <cp:category/>
</cp:coreProperties>
</file>