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06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FINANCIAL AND COMMERCIAL CONTROL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06  |  FINANCIAL AND COMMERCIAL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Connecting campaign delivery to cost, profitability and benefits realization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06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Build a complete cost baseline covering labor, media, vendors, technology and overhead.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Track actual cost, commitments, forecast-at-completion and budget burn.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Evaluate agency profitability and in-house projects using the appropriate value model.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cost structure  |  25 min baseline and forecast  |  20 min profitability and value  |  25 min calculation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Financial control sheet with baseline, actuals, forecast and value case.</w:t>
            </w:r>
          </w:p>
        </w:tc>
      </w:tr>
    </w:tbl>
    <w:p/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6.1 Cost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Cost category</w:t>
            </w:r>
          </w:p>
        </w:tc>
        <w:tc>
          <w:tcPr>
            <w:tcW w:type="dxa" w:w="381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Illustrative components</w:t>
            </w:r>
          </w:p>
        </w:tc>
        <w:tc>
          <w:tcPr>
            <w:tcW w:type="dxa" w:w="345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Control approach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Internal labor</w:t>
            </w:r>
          </w:p>
        </w:tc>
        <w:tc>
          <w:tcPr>
            <w:tcW w:type="dxa" w:w="38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Strategy, creative, project management, analytics, engineering, review and administration.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Rate card or standard cost by role; planned versus actual hours.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Media</w:t>
            </w:r>
          </w:p>
        </w:tc>
        <w:tc>
          <w:tcPr>
            <w:tcW w:type="dxa" w:w="38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Paid search, social, display, sponsorship and promotion.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Committed spend, pacing, performance and reallocation rules.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Production</w:t>
            </w:r>
          </w:p>
        </w:tc>
        <w:tc>
          <w:tcPr>
            <w:tcW w:type="dxa" w:w="38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Video, photography, design adaptation, translation, print and physical assets.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Purchase orders, milestones, acceptance and change control.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Technology</w:t>
            </w:r>
          </w:p>
        </w:tc>
        <w:tc>
          <w:tcPr>
            <w:tcW w:type="dxa" w:w="38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Platforms, data services, integrations, automation and temporary tools.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License ownership, usage, renewal and implementation cost.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External services</w:t>
            </w:r>
          </w:p>
        </w:tc>
        <w:tc>
          <w:tcPr>
            <w:tcW w:type="dxa" w:w="38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Agency, freelancer, event, PR, legal and research fees.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Statement of work, deliverables, rate basis and acceptance.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Contingency</w:t>
            </w:r>
          </w:p>
        </w:tc>
        <w:tc>
          <w:tcPr>
            <w:tcW w:type="dxa" w:w="38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Known uncertainty and risk exposure.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Controlled reserve with defined approval authority.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6.2 Budget baseline and forecast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Each project should have a time-phased cost baseline and an estimate at completion. A single total budget does not reveal whether overspend is occurring early, whether media is pacing correctly or whether remaining work can be completed within the authorized amount.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30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7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16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Management use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Budget at completion (BAC)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Approved total project budget.</w:t>
            </w:r>
          </w:p>
        </w:tc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Baseline authorization.</w:t>
            </w:r>
          </w:p>
        </w:tc>
      </w:tr>
      <w:tr>
        <w:trPr>
          <w:cantSplit/>
        </w:trPr>
        <w:tc>
          <w:tcPr>
            <w:tcW w:type="dxa" w:w="23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Actual cost (AC)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Cost incurred to the reporting date.</w:t>
            </w:r>
          </w:p>
        </w:tc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Spend visibility.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Committed cost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Approved obligations not yet invoiced or paid.</w:t>
            </w:r>
          </w:p>
        </w:tc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True remaining exposure.</w:t>
            </w:r>
          </w:p>
        </w:tc>
      </w:tr>
      <w:tr>
        <w:trPr>
          <w:cantSplit/>
        </w:trPr>
        <w:tc>
          <w:tcPr>
            <w:tcW w:type="dxa" w:w="23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Estimate to complete (ETC)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Forecast cost of remaining work.</w:t>
            </w:r>
          </w:p>
        </w:tc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Forward-looking control.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Estimate at completion (EAC)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AC + committed / remaining forecast, depending on model.</w:t>
            </w:r>
          </w:p>
        </w:tc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Expected final cost.</w:t>
            </w:r>
          </w:p>
        </w:tc>
      </w:tr>
      <w:tr>
        <w:trPr>
          <w:cantSplit/>
        </w:trPr>
        <w:tc>
          <w:tcPr>
            <w:tcW w:type="dxa" w:w="23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Budget variance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BAC − EAC.</w:t>
            </w:r>
          </w:p>
        </w:tc>
        <w:tc>
          <w:tcPr>
            <w:tcW w:type="dxa" w:w="316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Early escalation of projected overrun.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Budget burn rate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Spend or hours consumed relative to time and deliverable completion.</w:t>
            </w:r>
          </w:p>
        </w:tc>
        <w:tc>
          <w:tcPr>
            <w:tcW w:type="dxa" w:w="316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Detects front-loading, blocked work and scope growth.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6.3 Agency profitability versus in-house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23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Operating context</w:t>
            </w:r>
          </w:p>
        </w:tc>
        <w:tc>
          <w:tcPr>
            <w:tcW w:type="dxa" w:w="360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Primary financial focus</w:t>
            </w:r>
          </w:p>
        </w:tc>
        <w:tc>
          <w:tcPr>
            <w:tcW w:type="dxa" w:w="338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Key measures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Agency / professional services</w:t>
            </w:r>
          </w:p>
        </w:tc>
        <w:tc>
          <w:tcPr>
            <w:tcW w:type="dxa" w:w="36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Client and engagement profitability, utilization and revenue realization.</w:t>
            </w:r>
          </w:p>
        </w:tc>
        <w:tc>
          <w:tcPr>
            <w:tcW w:type="dxa" w:w="338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Gross margin, realization, write-offs, billable utilization, retainer burn, pipeline coverage.</w:t>
            </w:r>
          </w:p>
        </w:tc>
      </w:tr>
      <w:tr>
        <w:trPr>
          <w:cantSplit/>
        </w:trPr>
        <w:tc>
          <w:tcPr>
            <w:tcW w:type="dxa" w:w="22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In-house marketing</w:t>
            </w:r>
          </w:p>
        </w:tc>
        <w:tc>
          <w:tcPr>
            <w:tcW w:type="dxa" w:w="36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Incremental enterprise value and efficiency of constrained spend.</w:t>
            </w:r>
          </w:p>
        </w:tc>
        <w:tc>
          <w:tcPr>
            <w:tcW w:type="dxa" w:w="338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Contribution margin, pipeline value, customer acquisition economics, retention, cost avoidance, brand and strategic value.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Shared services / internal agency</w:t>
            </w:r>
          </w:p>
        </w:tc>
        <w:tc>
          <w:tcPr>
            <w:tcW w:type="dxa" w:w="36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Service economics plus business-unit value.</w:t>
            </w:r>
          </w:p>
        </w:tc>
        <w:tc>
          <w:tcPr>
            <w:tcW w:type="dxa" w:w="338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Chargeback, unit cost, SLA performance, internal satisfaction and outcome contribution.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014"/>
      </w:tblGrid>
      <w:tr>
        <w:tc>
          <w:tcPr>
            <w:tcW w:type="dxa" w:w="4968"/>
            <w:shd w:fill="00A87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E7F8F2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0A878"/>
                <w:sz w:val="18"/>
              </w:rPr>
              <w:t>FINANCIAL CONTROL PRINCIPLE</w:t>
            </w:r>
          </w:p>
          <w:p>
            <w:pPr>
              <w:spacing w:after="0" w:line="250" w:lineRule="auto"/>
            </w:pPr>
            <w:r>
              <w:rPr>
                <w:rFonts w:ascii="Inter" w:hAnsi="Inter"/>
                <w:color w:val="172033"/>
                <w:sz w:val="19"/>
              </w:rPr>
              <w:t>Do not confuse delivery profitability with campaign effectiveness. Both must be visible: the cost and efficiency of producing the work, and the commercial or strategic value the work creates.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06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Using a sample campaign budget, calculate committed cost, actual cost, estimate-to-complete, forecast-at-completion, variance and margin or value contribution. Identify the management action triggered by each variance.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Why are commitments as important as paid invoices?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How does agency margin analysis differ from an in-house benefits case?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What does budget burn reveal when schedule progress is considered at the same time?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06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06 - Financial And Commercial Control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