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5A43D6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  <w:tc>
          <w:tcPr>
            <w:tcW w:type="dxa" w:w="3168"/>
            <w:shd w:fill="00A7A7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  <w:tc>
          <w:tcPr>
            <w:tcW w:type="dxa" w:w="3168"/>
            <w:shd w:fill="F2B84B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</w:tr>
    </w:tbl>
    <w:p>
      <w:pPr>
        <w:spacing w:before="480" w:after="40"/>
      </w:pPr>
      <w:r>
        <w:rPr>
          <w:rFonts w:ascii="Arial" w:hAnsi="Arial"/>
          <w:b/>
          <w:color w:val="5A43D6"/>
          <w:sz w:val="20"/>
        </w:rPr>
        <w:t>PROFESSIONAL COURSE SERIES</w:t>
      </w:r>
    </w:p>
    <w:p>
      <w:pPr>
        <w:spacing w:before="40" w:after="0"/>
      </w:pPr>
      <w:r>
        <w:rPr>
          <w:rFonts w:ascii="Arial" w:hAnsi="Arial"/>
          <w:b/>
          <w:color w:val="10243E"/>
          <w:sz w:val="60"/>
        </w:rPr>
        <w:t>MARKETING PROJECT</w:t>
      </w:r>
    </w:p>
    <w:p>
      <w:pPr>
        <w:spacing w:before="0" w:after="320"/>
        <w:pBdr>
          <w:bottom w:val="single" w:sz="24" w:space="5" w:color="00A7A7"/>
        </w:pBdr>
      </w:pPr>
      <w:r>
        <w:rPr>
          <w:rFonts w:ascii="Arial" w:hAnsi="Arial"/>
          <w:b/>
          <w:color w:val="10243E"/>
          <w:sz w:val="60"/>
        </w:rPr>
        <w:t>MANAGEMENT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5A43D6"/>
            <w:vAlign w:val="center"/>
            <w:tcMar>
              <w:top w:w="180" w:type="dxa"/>
              <w:start w:w="190" w:type="dxa"/>
              <w:bottom w:w="18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LECTURE</w:t>
              <w:br/>
              <w:t>07</w:t>
            </w:r>
          </w:p>
        </w:tc>
        <w:tc>
          <w:tcPr>
            <w:tcW w:type="dxa" w:w="7344"/>
            <w:shd w:fill="F3F6FA"/>
            <w:vAlign w:val="center"/>
            <w:tcMar>
              <w:top w:w="180" w:type="dxa"/>
              <w:start w:w="190" w:type="dxa"/>
              <w:bottom w:w="180" w:type="dxa"/>
              <w:end w:w="1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B2638"/>
                <w:sz w:val="32"/>
              </w:rPr>
              <w:t>MEASUREMENT AND ANALYTICS</w:t>
            </w:r>
          </w:p>
        </w:tc>
      </w:tr>
    </w:tbl>
    <w:p>
      <w:pPr>
        <w:spacing w:before="440" w:after="120"/>
      </w:pPr>
      <w:r>
        <w:rPr>
          <w:rFonts w:ascii="Arial" w:hAnsi="Arial"/>
          <w:b/>
          <w:color w:val="00A7A7"/>
          <w:sz w:val="19"/>
        </w:rPr>
        <w:t>COURSE POSITIONING</w:t>
      </w:r>
    </w:p>
    <w:p>
      <w:pPr>
        <w:spacing w:after="360"/>
      </w:pPr>
      <w:r>
        <w:rPr>
          <w:rFonts w:ascii="Arial" w:hAnsi="Arial"/>
          <w:color w:val="5C6B7A"/>
          <w:sz w:val="24"/>
        </w:rPr>
        <w:t>Strategy  |  Governance  |  Delivery  |  Measurement  |  Applied Learning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10243E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PREPARED FOR</w:t>
            </w:r>
          </w:p>
        </w:tc>
        <w:tc>
          <w:tcPr>
            <w:tcW w:type="dxa" w:w="7344"/>
            <w:shd w:fill="FFFFFF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color w:val="1B2638"/>
                <w:sz w:val="19"/>
              </w:rPr>
              <w:t>Ahmed Labib</w:t>
            </w:r>
          </w:p>
        </w:tc>
      </w:tr>
      <w:tr>
        <w:tc>
          <w:tcPr>
            <w:tcW w:type="dxa" w:w="2088"/>
            <w:shd w:fill="10243E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EDITION</w:t>
            </w:r>
          </w:p>
        </w:tc>
        <w:tc>
          <w:tcPr>
            <w:tcW w:type="dxa" w:w="7344"/>
            <w:shd w:fill="F3F6FA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color w:val="1B2638"/>
                <w:sz w:val="19"/>
              </w:rPr>
              <w:t>Lecture-Based Professional Course</w:t>
            </w:r>
          </w:p>
        </w:tc>
      </w:tr>
      <w:tr>
        <w:tc>
          <w:tcPr>
            <w:tcW w:type="dxa" w:w="2088"/>
            <w:shd w:fill="10243E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ISSUE DATE</w:t>
            </w:r>
          </w:p>
        </w:tc>
        <w:tc>
          <w:tcPr>
            <w:tcW w:type="dxa" w:w="7344"/>
            <w:shd w:fill="FFFFFF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color w:val="1B2638"/>
                <w:sz w:val="19"/>
              </w:rPr>
              <w:t>July 2026</w:t>
            </w:r>
          </w:p>
        </w:tc>
      </w:tr>
    </w:tbl>
    <w:p>
      <w:pPr>
        <w:spacing w:before="480" w:after="0"/>
      </w:pPr>
      <w:r>
        <w:rPr>
          <w:rFonts w:ascii="Arial" w:hAnsi="Arial"/>
          <w:i/>
          <w:color w:val="5C6B7A"/>
          <w:sz w:val="18"/>
        </w:rPr>
        <w:t>A standalone lecture from the premium Marketing Project Management professional course.</w:t>
      </w:r>
    </w:p>
    <w:p>
      <w:pPr>
        <w:spacing w:before="160" w:after="0"/>
      </w:pPr>
      <w:r>
        <w:rPr>
          <w:rFonts w:ascii="Arial" w:hAnsi="Arial"/>
          <w:b/>
          <w:color w:val="5A43D6"/>
          <w:sz w:val="17"/>
        </w:rPr>
        <w:t>CONFIDENTIAL  |  PROFESSIONAL LEARNING MATERIAL</w:t>
      </w:r>
    </w:p>
    <w:p>
      <w:pPr>
        <w:spacing w:after="0"/>
      </w:pPr>
      <w:r>
        <w:br w:type="page"/>
      </w:r>
    </w:p>
    <w:p>
      <w:pPr>
        <w:pStyle w:val="Heading1"/>
        <w:keepNext/>
        <w:pageBreakBefore w:val="0"/>
        <w:widowControl/>
        <w:spacing w:before="0" w:after="80"/>
      </w:pPr>
      <w:r>
        <w:rPr>
          <w:rFonts w:ascii="Inter" w:hAnsi="Inter"/>
          <w:b/>
          <w:color w:val="365F91"/>
          <w:sz w:val="28"/>
        </w:rPr>
        <w:t>LECTURE 07  |  MEASUREMENT AND ANALYTICS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6C4CF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p>
      <w:pPr>
        <w:widowControl/>
        <w:spacing w:before="140" w:after="240"/>
      </w:pPr>
      <w:r>
        <w:rPr>
          <w:rFonts w:ascii="Inter" w:hAnsi="Inter"/>
          <w:i/>
          <w:color w:val="66758C"/>
          <w:sz w:val="20"/>
        </w:rPr>
        <w:t>Building an auditable path from project activity to business value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8"/>
        <w:gridCol w:w="7992"/>
      </w:tblGrid>
      <w:tr>
        <w:trPr>
          <w:tblHeader w:val="true"/>
        </w:trPr>
        <w:tc>
          <w:tcPr>
            <w:tcW w:type="dxa" w:w="9936"/>
            <w:gridSpan w:val="2"/>
            <w:shd w:fill="172B5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FFFFFF"/>
                <w:sz w:val="21"/>
              </w:rPr>
              <w:t>LECTURE 07 BRIEF  |  90 MINUTES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LEARNING OUTCOMES</w:t>
            </w:r>
          </w:p>
        </w:tc>
        <w:tc>
          <w:tcPr>
            <w:tcW w:type="dxa" w:w="4968"/>
            <w:shd w:fill="FFFFFF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72033"/>
                <w:sz w:val="18"/>
              </w:rPr>
              <w:t>1. Design a measurement plan before campaign build and launch.</w:t>
            </w:r>
            <w:r>
              <w:br/>
            </w:r>
            <w:r>
              <w:rPr>
                <w:rFonts w:ascii="Inter" w:hAnsi="Inter"/>
                <w:b w:val="0"/>
                <w:color w:val="172033"/>
                <w:sz w:val="18"/>
              </w:rPr>
              <w:t>2. Create a KPI hierarchy spanning delivery, output, outcome and business value.</w:t>
            </w:r>
            <w:r>
              <w:br/>
            </w:r>
            <w:r>
              <w:rPr>
                <w:rFonts w:ascii="Inter" w:hAnsi="Inter"/>
                <w:b w:val="0"/>
                <w:color w:val="172033"/>
                <w:sz w:val="18"/>
              </w:rPr>
              <w:t>3. Select attribution or incrementality methods appropriate to the decision and data maturity.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SESSION FLOW</w:t>
            </w:r>
          </w:p>
        </w:tc>
        <w:tc>
          <w:tcPr>
            <w:tcW w:type="dxa" w:w="4968"/>
            <w:shd w:fill="FFFFFF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72033"/>
                <w:sz w:val="18"/>
              </w:rPr>
              <w:t>10 min measurement architecture  |  25 min KPI design  |  20 min attribution  |  25 min KPI-tree workshop  |  10 min review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APPLIED OUTPUT</w:t>
            </w:r>
          </w:p>
        </w:tc>
        <w:tc>
          <w:tcPr>
            <w:tcW w:type="dxa" w:w="4968"/>
            <w:shd w:fill="FFFFFF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72033"/>
                <w:sz w:val="18"/>
              </w:rPr>
              <w:t>Measurement plan, KPI dictionary and dashboard blueprint.</w:t>
            </w:r>
          </w:p>
        </w:tc>
      </w:tr>
    </w:tbl>
    <w:p/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435483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ment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  <w:jc w:val="center"/>
      </w:pPr>
      <w:r>
        <w:rPr>
          <w:rFonts w:ascii="Inter" w:hAnsi="Inter"/>
          <w:i/>
          <w:color w:val="5E687B"/>
          <w:sz w:val="16"/>
        </w:rPr>
        <w:t>Figure 1 — Recommended KPI hierarchy for governed marketing project management.</w:t>
      </w:r>
    </w:p>
    <w:p>
      <w:pPr>
        <w:pStyle w:val="Heading2"/>
        <w:keepNext/>
        <w:widowControl/>
        <w:spacing w:before="240" w:after="100"/>
      </w:pPr>
      <w:r>
        <w:rPr>
          <w:rFonts w:ascii="Inter" w:hAnsi="Inter"/>
          <w:b/>
          <w:color w:val="0B1739"/>
          <w:sz w:val="28"/>
        </w:rPr>
        <w:t>7.1 Measurement plan</w:t>
      </w:r>
    </w:p>
    <w:p>
      <w:pPr>
        <w:pStyle w:val="BodyText"/>
        <w:widowControl/>
        <w:spacing w:after="120" w:line="259" w:lineRule="auto"/>
        <w:jc w:val="both"/>
      </w:pPr>
      <w:r>
        <w:rPr>
          <w:rFonts w:ascii="Inter" w:hAnsi="Inter"/>
          <w:color w:val="172033"/>
          <w:sz w:val="20"/>
        </w:rPr>
        <w:t>The source identifies lead generation, lead conversion, utilization and profit margin as example metrics, but a comprehensive system must define exactly how data is created, validated and interpreted. [S1] Google Analytics guidance illustrates the need to identify meaningful events, classify important outcomes as key events and govern how those events feed reporting and attribution. [R2]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736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Measurement-plan field</w:t>
            </w:r>
          </w:p>
        </w:tc>
        <w:tc>
          <w:tcPr>
            <w:tcW w:type="dxa" w:w="6480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Required definition</w:t>
            </w:r>
          </w:p>
        </w:tc>
      </w:tr>
      <w:tr>
        <w:trPr>
          <w:cantSplit/>
        </w:trPr>
        <w:tc>
          <w:tcPr>
            <w:tcW w:type="dxa" w:w="273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Business question</w:t>
            </w:r>
          </w:p>
        </w:tc>
        <w:tc>
          <w:tcPr>
            <w:tcW w:type="dxa" w:w="648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The decision the metric must support.</w:t>
            </w:r>
          </w:p>
        </w:tc>
      </w:tr>
      <w:tr>
        <w:trPr>
          <w:cantSplit/>
        </w:trPr>
        <w:tc>
          <w:tcPr>
            <w:tcW w:type="dxa" w:w="273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Metric and formula</w:t>
            </w:r>
          </w:p>
        </w:tc>
        <w:tc>
          <w:tcPr>
            <w:tcW w:type="dxa" w:w="648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Precise definition, numerator, denominator, exclusions and currency/time basis.</w:t>
            </w:r>
          </w:p>
        </w:tc>
      </w:tr>
      <w:tr>
        <w:trPr>
          <w:cantSplit/>
        </w:trPr>
        <w:tc>
          <w:tcPr>
            <w:tcW w:type="dxa" w:w="273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Baseline and target</w:t>
            </w:r>
          </w:p>
        </w:tc>
        <w:tc>
          <w:tcPr>
            <w:tcW w:type="dxa" w:w="648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Current state, target value, target date and confidence level.</w:t>
            </w:r>
          </w:p>
        </w:tc>
      </w:tr>
      <w:tr>
        <w:trPr>
          <w:cantSplit/>
        </w:trPr>
        <w:tc>
          <w:tcPr>
            <w:tcW w:type="dxa" w:w="273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Event / data source</w:t>
            </w:r>
          </w:p>
        </w:tc>
        <w:tc>
          <w:tcPr>
            <w:tcW w:type="dxa" w:w="648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System, event name, parameters, source owner and collection method.</w:t>
            </w:r>
          </w:p>
        </w:tc>
      </w:tr>
      <w:tr>
        <w:trPr>
          <w:cantSplit/>
        </w:trPr>
        <w:tc>
          <w:tcPr>
            <w:tcW w:type="dxa" w:w="273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Attribution / causality</w:t>
            </w:r>
          </w:p>
        </w:tc>
        <w:tc>
          <w:tcPr>
            <w:tcW w:type="dxa" w:w="648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How credit is assigned and what the model cannot prove.</w:t>
            </w:r>
          </w:p>
        </w:tc>
      </w:tr>
      <w:tr>
        <w:trPr>
          <w:cantSplit/>
        </w:trPr>
        <w:tc>
          <w:tcPr>
            <w:tcW w:type="dxa" w:w="273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Segmentation</w:t>
            </w:r>
          </w:p>
        </w:tc>
        <w:tc>
          <w:tcPr>
            <w:tcW w:type="dxa" w:w="648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Audience, market, product, channel, creative, lifecycle stage or cohort.</w:t>
            </w:r>
          </w:p>
        </w:tc>
      </w:tr>
      <w:tr>
        <w:trPr>
          <w:cantSplit/>
        </w:trPr>
        <w:tc>
          <w:tcPr>
            <w:tcW w:type="dxa" w:w="273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Frequency and latency</w:t>
            </w:r>
          </w:p>
        </w:tc>
        <w:tc>
          <w:tcPr>
            <w:tcW w:type="dxa" w:w="648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Real-time, daily, weekly, monthly and expected data delay.</w:t>
            </w:r>
          </w:p>
        </w:tc>
      </w:tr>
      <w:tr>
        <w:trPr>
          <w:cantSplit/>
        </w:trPr>
        <w:tc>
          <w:tcPr>
            <w:tcW w:type="dxa" w:w="273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Data quality checks</w:t>
            </w:r>
          </w:p>
        </w:tc>
        <w:tc>
          <w:tcPr>
            <w:tcW w:type="dxa" w:w="648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Completeness, duplication, invalid traffic, consent and reconciliation rules.</w:t>
            </w:r>
          </w:p>
        </w:tc>
      </w:tr>
      <w:tr>
        <w:trPr>
          <w:cantSplit/>
        </w:trPr>
        <w:tc>
          <w:tcPr>
            <w:tcW w:type="dxa" w:w="273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Owner and action threshold</w:t>
            </w:r>
          </w:p>
        </w:tc>
        <w:tc>
          <w:tcPr>
            <w:tcW w:type="dxa" w:w="648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Accountable owner, tolerance, alert trigger and required response.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240" w:after="100"/>
      </w:pPr>
      <w:r>
        <w:rPr>
          <w:rFonts w:ascii="Inter" w:hAnsi="Inter"/>
          <w:b/>
          <w:color w:val="0B1739"/>
          <w:sz w:val="28"/>
        </w:rPr>
        <w:t>7.2 KPI classes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1944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KPI class</w:t>
            </w:r>
          </w:p>
        </w:tc>
        <w:tc>
          <w:tcPr>
            <w:tcW w:type="dxa" w:w="3816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Examples</w:t>
            </w:r>
          </w:p>
        </w:tc>
        <w:tc>
          <w:tcPr>
            <w:tcW w:type="dxa" w:w="3456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Caution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Business outcomes</w:t>
            </w:r>
          </w:p>
        </w:tc>
        <w:tc>
          <w:tcPr>
            <w:tcW w:type="dxa" w:w="381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Revenue, contribution margin, market share, customer lifetime value, retention.</w:t>
            </w:r>
          </w:p>
        </w:tc>
        <w:tc>
          <w:tcPr>
            <w:tcW w:type="dxa" w:w="345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Often affected by multiple non-marketing factors.</w:t>
            </w:r>
          </w:p>
        </w:tc>
      </w:tr>
      <w:tr>
        <w:trPr>
          <w:cantSplit/>
        </w:trPr>
        <w:tc>
          <w:tcPr>
            <w:tcW w:type="dxa" w:w="19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Marketing outcomes</w:t>
            </w:r>
          </w:p>
        </w:tc>
        <w:tc>
          <w:tcPr>
            <w:tcW w:type="dxa" w:w="381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Qualified pipeline, conversion, incremental sales, brand lift, share of search.</w:t>
            </w:r>
          </w:p>
        </w:tc>
        <w:tc>
          <w:tcPr>
            <w:tcW w:type="dxa" w:w="345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Requires consistent definitions and causal humility.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Campaign metrics</w:t>
            </w:r>
          </w:p>
        </w:tc>
        <w:tc>
          <w:tcPr>
            <w:tcW w:type="dxa" w:w="381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Reach quality, engagement, CTR, cost per result, ROAS, frequency, completion rate.</w:t>
            </w:r>
          </w:p>
        </w:tc>
        <w:tc>
          <w:tcPr>
            <w:tcW w:type="dxa" w:w="345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May reward platform behavior without proving enterprise value.</w:t>
            </w:r>
          </w:p>
        </w:tc>
      </w:tr>
      <w:tr>
        <w:trPr>
          <w:cantSplit/>
        </w:trPr>
        <w:tc>
          <w:tcPr>
            <w:tcW w:type="dxa" w:w="19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Project controls</w:t>
            </w:r>
          </w:p>
        </w:tc>
        <w:tc>
          <w:tcPr>
            <w:tcW w:type="dxa" w:w="381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Milestone variance, schedule reliability, cost variance, cycle time, rework, approval latency.</w:t>
            </w:r>
          </w:p>
        </w:tc>
        <w:tc>
          <w:tcPr>
            <w:tcW w:type="dxa" w:w="345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Measures delivery health, not campaign effectiveness.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Data quality</w:t>
            </w:r>
          </w:p>
        </w:tc>
        <w:tc>
          <w:tcPr>
            <w:tcW w:type="dxa" w:w="381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Tag coverage, event validity, identity match, consent rate, source completeness.</w:t>
            </w:r>
          </w:p>
        </w:tc>
        <w:tc>
          <w:tcPr>
            <w:tcW w:type="dxa" w:w="345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Poor data can make every downstream metric unreliable.</w:t>
            </w:r>
          </w:p>
        </w:tc>
      </w:tr>
      <w:tr>
        <w:trPr>
          <w:cantSplit/>
        </w:trPr>
        <w:tc>
          <w:tcPr>
            <w:tcW w:type="dxa" w:w="19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Learning metrics</w:t>
            </w:r>
          </w:p>
        </w:tc>
        <w:tc>
          <w:tcPr>
            <w:tcW w:type="dxa" w:w="381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Hypotheses tested, decision velocity, reusable insights, test confidence.</w:t>
            </w:r>
          </w:p>
        </w:tc>
        <w:tc>
          <w:tcPr>
            <w:tcW w:type="dxa" w:w="345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Quantity of tests is not equivalent to learning quality.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240" w:after="100"/>
      </w:pPr>
      <w:r>
        <w:rPr>
          <w:rFonts w:ascii="Inter" w:hAnsi="Inter"/>
          <w:b/>
          <w:color w:val="0B1739"/>
          <w:sz w:val="28"/>
        </w:rPr>
        <w:t>7.3 Attribution and incrementality</w:t>
      </w:r>
    </w:p>
    <w:p>
      <w:pPr>
        <w:pStyle w:val="BodyText"/>
        <w:widowControl/>
        <w:spacing w:after="120" w:line="259" w:lineRule="auto"/>
        <w:jc w:val="both"/>
      </w:pPr>
      <w:r>
        <w:rPr>
          <w:rFonts w:ascii="Inter" w:hAnsi="Inter"/>
          <w:color w:val="172033"/>
          <w:sz w:val="20"/>
        </w:rPr>
        <w:t>Attribution allocates observed credit; it does not automatically establish causal impact. Marketing leaders should distinguish platform-reported attribution from independent analytics, matched-market or holdout tests, lift studies and broader commercial evidence. The appropriate method depends on decision value, data availability, risk and cost.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2232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528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Best use</w:t>
            </w:r>
          </w:p>
        </w:tc>
        <w:tc>
          <w:tcPr>
            <w:tcW w:type="dxa" w:w="3456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Principal limitation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Rule-based attribution</w:t>
            </w:r>
          </w:p>
        </w:tc>
        <w:tc>
          <w:tcPr>
            <w:tcW w:type="dxa" w:w="352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Operational reporting and transparent channel comparison.</w:t>
            </w:r>
          </w:p>
        </w:tc>
        <w:tc>
          <w:tcPr>
            <w:tcW w:type="dxa" w:w="345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Sensitive to the selected rule and customer-journey visibility.</w:t>
            </w:r>
          </w:p>
        </w:tc>
      </w:tr>
      <w:tr>
        <w:trPr>
          <w:cantSplit/>
        </w:trPr>
        <w:tc>
          <w:tcPr>
            <w:tcW w:type="dxa" w:w="223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Data-driven attribution</w:t>
            </w:r>
          </w:p>
        </w:tc>
        <w:tc>
          <w:tcPr>
            <w:tcW w:type="dxa" w:w="352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Large datasets with stable event collection.</w:t>
            </w:r>
          </w:p>
        </w:tc>
        <w:tc>
          <w:tcPr>
            <w:tcW w:type="dxa" w:w="345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Model opacity and dependence on platform data.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Marketing mix modeling</w:t>
            </w:r>
          </w:p>
        </w:tc>
        <w:tc>
          <w:tcPr>
            <w:tcW w:type="dxa" w:w="352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Strategic budget allocation across channels and time.</w:t>
            </w:r>
          </w:p>
        </w:tc>
        <w:tc>
          <w:tcPr>
            <w:tcW w:type="dxa" w:w="345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Requires sufficient history and statistical expertise.</w:t>
            </w:r>
          </w:p>
        </w:tc>
      </w:tr>
      <w:tr>
        <w:trPr>
          <w:cantSplit/>
        </w:trPr>
        <w:tc>
          <w:tcPr>
            <w:tcW w:type="dxa" w:w="223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Incrementality / holdout testing</w:t>
            </w:r>
          </w:p>
        </w:tc>
        <w:tc>
          <w:tcPr>
            <w:tcW w:type="dxa" w:w="352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Estimating causal lift for a specific intervention.</w:t>
            </w:r>
          </w:p>
        </w:tc>
        <w:tc>
          <w:tcPr>
            <w:tcW w:type="dxa" w:w="345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Operational complexity and potential sample-size constraints.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Brand lift / research</w:t>
            </w:r>
          </w:p>
        </w:tc>
        <w:tc>
          <w:tcPr>
            <w:tcW w:type="dxa" w:w="352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Awareness, consideration and perception effects.</w:t>
            </w:r>
          </w:p>
        </w:tc>
        <w:tc>
          <w:tcPr>
            <w:tcW w:type="dxa" w:w="345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Survey design, cost and response bias.</w:t>
            </w:r>
          </w:p>
        </w:tc>
      </w:tr>
      <w:tr>
        <w:trPr>
          <w:cantSplit/>
        </w:trPr>
        <w:tc>
          <w:tcPr>
            <w:tcW w:type="dxa" w:w="223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Qualitative evidence</w:t>
            </w:r>
          </w:p>
        </w:tc>
        <w:tc>
          <w:tcPr>
            <w:tcW w:type="dxa" w:w="352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Complex B2B journeys, strategic accounts and new-category learning.</w:t>
            </w:r>
          </w:p>
        </w:tc>
        <w:tc>
          <w:tcPr>
            <w:tcW w:type="dxa" w:w="345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Not directly scalable or fully attributable.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"/>
        <w:gridCol w:w="9014"/>
      </w:tblGrid>
      <w:tr>
        <w:tc>
          <w:tcPr>
            <w:tcW w:type="dxa" w:w="4968"/>
            <w:shd w:fill="00B8D9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8"/>
            <w:shd w:fill="E7F9FC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00B8D9"/>
                <w:sz w:val="18"/>
              </w:rPr>
              <w:t>DASHBOARD DESIGN RULE</w:t>
            </w:r>
          </w:p>
          <w:p>
            <w:pPr>
              <w:spacing w:after="0" w:line="250" w:lineRule="auto"/>
            </w:pPr>
            <w:r>
              <w:rPr>
                <w:rFonts w:ascii="Inter" w:hAnsi="Inter"/>
                <w:color w:val="172033"/>
                <w:sz w:val="19"/>
              </w:rPr>
              <w:t>Every executive dashboard should show outcomes, forecast, delivery variance, data quality and required decisions—not only historical campaign metrics.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before="240" w:after="100"/>
      </w:pPr>
      <w:r>
        <w:t>Applied learning and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8"/>
        <w:gridCol w:w="7992"/>
      </w:tblGrid>
      <w:tr>
        <w:trPr>
          <w:tblHeader w:val="true"/>
        </w:trPr>
        <w:tc>
          <w:tcPr>
            <w:tcW w:type="dxa" w:w="9936"/>
            <w:gridSpan w:val="2"/>
            <w:shd w:fill="365F91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FFFFFF"/>
                <w:sz w:val="20"/>
              </w:rPr>
              <w:t>LECTURE 07 APPLICATION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APPLIED WORKSHOP</w:t>
            </w:r>
          </w:p>
        </w:tc>
        <w:tc>
          <w:tcPr>
            <w:tcW w:type="dxa" w:w="4968"/>
            <w:shd w:fill="F5F8FC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72033"/>
                <w:sz w:val="18"/>
              </w:rPr>
              <w:t>Build a KPI tree for one marketing project. For each KPI define formula, owner, data source, frequency, target, decision threshold and known limitation. Add a practical attribution or incrementality approach.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KNOWLEDGE CHECK</w:t>
            </w:r>
          </w:p>
        </w:tc>
        <w:tc>
          <w:tcPr>
            <w:tcW w:type="dxa" w:w="4968"/>
            <w:shd w:fill="F5F8FC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72033"/>
                <w:sz w:val="18"/>
              </w:rPr>
              <w:t>1. Why should output metrics not be treated as business outcomes?</w:t>
            </w:r>
            <w:r>
              <w:br/>
            </w:r>
            <w:r>
              <w:rPr>
                <w:rFonts w:ascii="Inter" w:hAnsi="Inter"/>
                <w:color w:val="172033"/>
                <w:sz w:val="18"/>
              </w:rPr>
              <w:t>2. What makes a KPI auditable and decision-useful?</w:t>
            </w:r>
            <w:r>
              <w:br/>
            </w:r>
            <w:r>
              <w:rPr>
                <w:rFonts w:ascii="Inter" w:hAnsi="Inter"/>
                <w:color w:val="172033"/>
                <w:sz w:val="18"/>
              </w:rPr>
              <w:t>3. When is experimental incrementality preferable to multi-touch attribution?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1008" w:right="1080" w:bottom="936" w:left="1080" w:header="360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5C6B7A"/>
        <w:sz w:val="15"/>
      </w:rPr>
      <w:t>Prepared for Ahmed Labib  |  July 2026</w:t>
    </w: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216"/>
      <w:gridCol w:w="3216"/>
      <w:gridCol w:w="3216"/>
    </w:tblGrid>
    <w:tr>
      <w:tc>
        <w:tcPr>
          <w:tcW w:type="dxa" w:w="3216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6" w:color="D9DFEA"/>
          </w:tcBorders>
        </w:tcPr>
        <w:p>
          <w:r>
            <w:rPr>
              <w:rFonts w:ascii="Inter" w:hAnsi="Inter"/>
              <w:color w:val="5E687B"/>
              <w:sz w:val="16"/>
            </w:rPr>
            <w:t>Ahmed Labib</w:t>
          </w:r>
        </w:p>
      </w:tc>
      <w:tc>
        <w:tcPr>
          <w:tcW w:type="dxa" w:w="3216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6" w:color="D9DFEA"/>
          </w:tcBorders>
        </w:tcPr>
        <w:p>
          <w:pPr>
            <w:jc w:val="center"/>
          </w:pPr>
          <w:r>
            <w:rPr>
              <w:rFonts w:ascii="Inter" w:hAnsi="Inter"/>
              <w:b/>
              <w:color w:val="6C4CF1"/>
              <w:sz w:val="16"/>
            </w:rPr>
            <w:t>CONFIDENTIAL</w:t>
          </w:r>
        </w:p>
      </w:tc>
      <w:tc>
        <w:tcPr>
          <w:tcW w:type="dxa" w:w="3216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6" w:color="D9DFEA"/>
          </w:tcBorders>
        </w:tcPr>
        <w:p>
          <w:pPr>
            <w:jc w:val="right"/>
          </w:pPr>
          <w:r>
            <w:rPr>
              <w:rFonts w:ascii="Inter" w:hAnsi="Inter"/>
              <w:color w:val="5E687B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  <w:p>
    <w:pPr>
      <w:jc w:val="right"/>
    </w:pPr>
    <w:r>
      <w:rPr>
        <w:color w:val="5C6B7A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D9E2EC"/>
      </w:pBdr>
    </w:pPr>
    <w:r>
      <w:rPr>
        <w:rFonts w:ascii="Arial" w:hAnsi="Arial"/>
        <w:b/>
        <w:color w:val="5C6B7A"/>
        <w:sz w:val="15"/>
      </w:rPr>
      <w:t>MARKETING PROJECT MANAGEMENT  |  LECTURE 07</w:t>
    </w: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912"/>
      <w:gridCol w:w="2736"/>
    </w:tblGrid>
    <w:tr>
      <w:tc>
        <w:tcPr>
          <w:tcW w:type="dxa" w:w="4824"/>
          <w:tcMar>
            <w:top w:w="20" w:type="dxa"/>
            <w:start w:w="0" w:type="dxa"/>
            <w:bottom w:w="30" w:type="dxa"/>
            <w:end w:w="0" w:type="dxa"/>
          </w:tcMar>
          <w:tcBorders>
            <w:bottom w:val="single" w:sz="10" w:color="6C4CF1"/>
          </w:tcBorders>
        </w:tcPr>
        <w:p>
          <w:pPr>
            <w:spacing w:after="0"/>
          </w:pPr>
          <w:r>
            <w:rPr>
              <w:rFonts w:ascii="Inter" w:hAnsi="Inter"/>
              <w:b/>
              <w:i w:val="0"/>
              <w:color w:val="365F91"/>
              <w:sz w:val="16"/>
            </w:rPr>
            <w:t>MARKETING PROJECT MANAGEMENT COURSE</w:t>
          </w:r>
        </w:p>
      </w:tc>
      <w:tc>
        <w:tcPr>
          <w:tcW w:type="dxa" w:w="4824"/>
          <w:tcMar>
            <w:top w:w="20" w:type="dxa"/>
            <w:start w:w="0" w:type="dxa"/>
            <w:bottom w:w="30" w:type="dxa"/>
            <w:end w:w="0" w:type="dxa"/>
          </w:tcMar>
          <w:tcBorders>
            <w:bottom w:val="single" w:sz="10" w:color="6C4CF1"/>
          </w:tcBorders>
        </w:tcPr>
        <w:p>
          <w:pPr>
            <w:spacing w:after="0"/>
            <w:jc w:val="right"/>
          </w:pPr>
          <w:r>
            <w:rPr>
              <w:rFonts w:ascii="Inter" w:hAnsi="Inter"/>
              <w:b/>
              <w:i w:val="0"/>
              <w:color w:val="365F91"/>
              <w:sz w:val="16"/>
            </w:rPr>
            <w:t>13-LECTURE PROFESSIONAL EDITION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Inter" w:hAnsi="Inter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Inter" w:hAnsi="Inte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Inter" w:hAnsi="Inter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" w:hAnsi="Inter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www.nist.gov/itl/ai-risk-management-framework" TargetMode="External"/><Relationship Id="rId17" Type="http://schemas.openxmlformats.org/officeDocument/2006/relationships/hyperlink" Target="https://support.google.com/analytics/answer/12966437?hl=en" TargetMode="External"/><Relationship Id="rId18" Type="http://schemas.openxmlformats.org/officeDocument/2006/relationships/hyperlink" Target="https://www.ftc.gov/business-guidance/resources/disclosures-101-social-media-influencers" TargetMode="External"/><Relationship Id="rId19" Type="http://schemas.openxmlformats.org/officeDocument/2006/relationships/hyperlink" Target="https://arxiv.org/abs/1901.05771" TargetMode="External"/><Relationship Id="rId20" Type="http://schemas.openxmlformats.org/officeDocument/2006/relationships/hyperlink" Target="https://arxiv.org/abs/2412.02041" TargetMode="External"/><Relationship Id="rId21" Type="http://schemas.openxmlformats.org/officeDocument/2006/relationships/hyperlink" Target="https://arxiv.org/abs/2203.00430" TargetMode="External"/><Relationship Id="rId22" Type="http://schemas.openxmlformats.org/officeDocument/2006/relationships/hyperlink" Target="https://arxiv.org/abs/1911.09964" TargetMode="External"/><Relationship Id="rId23" Type="http://schemas.openxmlformats.org/officeDocument/2006/relationships/hyperlink" Target="https://arxiv.org/abs/2605.14021" TargetMode="External"/><Relationship Id="rId2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07 - Measurement And Analytics</dc:title>
  <dc:subject>Marketing Project Management Professional Course</dc:subject>
  <dc:creator>Ahmed Labib</dc:creator>
  <cp:keywords>marketing project management, governance, course, lecture</cp:keywords>
  <dc:description>Standalone lecture extracted from the premium professional course manual.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