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5A43D6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00A7A7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F2B84B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</w:tr>
    </w:tbl>
    <w:p>
      <w:pPr>
        <w:spacing w:before="480" w:after="40"/>
      </w:pPr>
      <w:r>
        <w:rPr>
          <w:rFonts w:ascii="Arial" w:hAnsi="Arial"/>
          <w:b/>
          <w:color w:val="5A43D6"/>
          <w:sz w:val="20"/>
        </w:rPr>
        <w:t>PROFESSIONAL COURSE SERIES</w:t>
      </w:r>
    </w:p>
    <w:p>
      <w:pPr>
        <w:spacing w:before="40" w:after="0"/>
      </w:pPr>
      <w:r>
        <w:rPr>
          <w:rFonts w:ascii="Arial" w:hAnsi="Arial"/>
          <w:b/>
          <w:color w:val="10243E"/>
          <w:sz w:val="60"/>
        </w:rPr>
        <w:t>MARKETING PROJECT</w:t>
      </w:r>
    </w:p>
    <w:p>
      <w:pPr>
        <w:spacing w:before="0" w:after="320"/>
        <w:pBdr>
          <w:bottom w:val="single" w:sz="24" w:space="5" w:color="00A7A7"/>
        </w:pBdr>
      </w:pPr>
      <w:r>
        <w:rPr>
          <w:rFonts w:ascii="Arial" w:hAnsi="Arial"/>
          <w:b/>
          <w:color w:val="10243E"/>
          <w:sz w:val="60"/>
        </w:rPr>
        <w:t>MANAGEMENT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5A43D6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LECTURE</w:t>
              <w:br/>
              <w:t>08</w:t>
            </w:r>
          </w:p>
        </w:tc>
        <w:tc>
          <w:tcPr>
            <w:tcW w:type="dxa" w:w="7344"/>
            <w:shd w:fill="F3F6FA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B2638"/>
                <w:sz w:val="32"/>
              </w:rPr>
              <w:t>RISK, COMPLIANCE AND AI GOVERNANCE</w:t>
            </w:r>
          </w:p>
        </w:tc>
      </w:tr>
    </w:tbl>
    <w:p>
      <w:pPr>
        <w:spacing w:before="440" w:after="120"/>
      </w:pPr>
      <w:r>
        <w:rPr>
          <w:rFonts w:ascii="Arial" w:hAnsi="Arial"/>
          <w:b/>
          <w:color w:val="00A7A7"/>
          <w:sz w:val="19"/>
        </w:rPr>
        <w:t>COURSE POSITIONING</w:t>
      </w:r>
    </w:p>
    <w:p>
      <w:pPr>
        <w:spacing w:after="360"/>
      </w:pPr>
      <w:r>
        <w:rPr>
          <w:rFonts w:ascii="Arial" w:hAnsi="Arial"/>
          <w:color w:val="5C6B7A"/>
          <w:sz w:val="24"/>
        </w:rPr>
        <w:t>Strategy  |  Governance  |  Delivery  |  Measurement  |  Applied Learning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Ahmed Labib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EDITION</w:t>
            </w:r>
          </w:p>
        </w:tc>
        <w:tc>
          <w:tcPr>
            <w:tcW w:type="dxa" w:w="7344"/>
            <w:shd w:fill="F3F6FA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Lecture-Based Professional Course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ISSUE DATE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July 2026</w:t>
            </w:r>
          </w:p>
        </w:tc>
      </w:tr>
    </w:tbl>
    <w:p>
      <w:pPr>
        <w:spacing w:before="480" w:after="0"/>
      </w:pPr>
      <w:r>
        <w:rPr>
          <w:rFonts w:ascii="Arial" w:hAnsi="Arial"/>
          <w:i/>
          <w:color w:val="5C6B7A"/>
          <w:sz w:val="18"/>
        </w:rPr>
        <w:t>A standalone lecture from the premium Marketing Project Management professional course.</w:t>
      </w:r>
    </w:p>
    <w:p>
      <w:pPr>
        <w:spacing w:before="160" w:after="0"/>
      </w:pPr>
      <w:r>
        <w:rPr>
          <w:rFonts w:ascii="Arial" w:hAnsi="Arial"/>
          <w:b/>
          <w:color w:val="5A43D6"/>
          <w:sz w:val="17"/>
        </w:rPr>
        <w:t>CONFIDENTIAL  |  PROFESSIONAL LEARNING MATERIAL</w:t>
      </w:r>
    </w:p>
    <w:p>
      <w:pPr>
        <w:spacing w:after="0"/>
      </w:pPr>
      <w:r>
        <w:br w:type="page"/>
      </w:r>
    </w:p>
    <w:p>
      <w:pPr>
        <w:pStyle w:val="Heading1"/>
        <w:keepNext/>
        <w:pageBreakBefore w:val="0"/>
        <w:widowControl/>
        <w:spacing w:before="0" w:after="80"/>
      </w:pPr>
      <w:r>
        <w:rPr>
          <w:rFonts w:ascii="Inter" w:hAnsi="Inter"/>
          <w:b/>
          <w:color w:val="365F91"/>
          <w:sz w:val="28"/>
        </w:rPr>
        <w:t>LECTURE 08  |  RISK, COMPLIANCE AND AI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6C4CF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widowControl/>
        <w:spacing w:before="140" w:after="240"/>
      </w:pPr>
      <w:r>
        <w:rPr>
          <w:rFonts w:ascii="Inter" w:hAnsi="Inter"/>
          <w:i/>
          <w:color w:val="66758C"/>
          <w:sz w:val="20"/>
        </w:rPr>
        <w:t>Embedding assurance into the workflow instead of adding it after production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172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1"/>
              </w:rPr>
              <w:t>LECTURE 08 BRIEF  |  90 MINUTES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LEARNING OUTCOMES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1. Identify, assess, assign and monitor project and campaign risks.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2. Embed privacy, consent, disclosure, claims and rights controls into stage gates.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3. Apply responsible-AI controls covering data, human review, provenance and accountability.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SESSION FLOW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10 min risk framework  |  25 min compliance controls  |  20 min AI governance  |  25 min risk-register workshop  |  10 min review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OUTPUT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72033"/>
                <w:sz w:val="18"/>
              </w:rPr>
              <w:t>Risk register, compliance checklist and AI approval gate.</w:t>
            </w:r>
          </w:p>
        </w:tc>
      </w:tr>
    </w:tbl>
    <w:p/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8.1 Risk management framework</w:t>
      </w:r>
    </w:p>
    <w:p>
      <w:pPr>
        <w:pStyle w:val="BodyText"/>
        <w:widowControl/>
        <w:spacing w:after="120" w:line="259" w:lineRule="auto"/>
        <w:jc w:val="both"/>
      </w:pPr>
      <w:r>
        <w:rPr>
          <w:rFonts w:ascii="Inter" w:hAnsi="Inter"/>
          <w:color w:val="172033"/>
          <w:sz w:val="20"/>
        </w:rPr>
        <w:t>The source describes avoidance, reduction, transfer and acceptance as common responses. [S1] A complete risk process also requires identification, probability and impact assessment, ownership, response deadlines, residual-risk evaluation and escalation thresholds.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1800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Risk category</w:t>
            </w:r>
          </w:p>
        </w:tc>
        <w:tc>
          <w:tcPr>
            <w:tcW w:type="dxa" w:w="3672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Illustrative exposure</w:t>
            </w:r>
          </w:p>
        </w:tc>
        <w:tc>
          <w:tcPr>
            <w:tcW w:type="dxa" w:w="374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Typical controls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Strategic</w:t>
            </w:r>
          </w:p>
        </w:tc>
        <w:tc>
          <w:tcPr>
            <w:tcW w:type="dxa" w:w="367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Campaign does not support priority or customer need.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Business case, portfolio gate, hypothesis and sponsor review.</w:t>
            </w:r>
          </w:p>
        </w:tc>
      </w:tr>
      <w:tr>
        <w:trPr>
          <w:cantSplit/>
        </w:trPr>
        <w:tc>
          <w:tcPr>
            <w:tcW w:type="dxa" w:w="180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Scope / schedule</w:t>
            </w:r>
          </w:p>
        </w:tc>
        <w:tc>
          <w:tcPr>
            <w:tcW w:type="dxa" w:w="367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Late additions, approval delays, unrealistic dates.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Baseline, change control, approval SLA and dependency tracking.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Resource</w:t>
            </w:r>
          </w:p>
        </w:tc>
        <w:tc>
          <w:tcPr>
            <w:tcW w:type="dxa" w:w="367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Critical skill shortage, overload or vendor failure.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Capacity plan, back-up owner, WIP limits and contingency vendor.</w:t>
            </w:r>
          </w:p>
        </w:tc>
      </w:tr>
      <w:tr>
        <w:trPr>
          <w:cantSplit/>
        </w:trPr>
        <w:tc>
          <w:tcPr>
            <w:tcW w:type="dxa" w:w="180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Financial</w:t>
            </w:r>
          </w:p>
        </w:tc>
        <w:tc>
          <w:tcPr>
            <w:tcW w:type="dxa" w:w="367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Budget burn, media inefficiency, unplanned production cost.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Time-phased budget, forecast, commitment log and reallocation rules.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Data / analytics</w:t>
            </w:r>
          </w:p>
        </w:tc>
        <w:tc>
          <w:tcPr>
            <w:tcW w:type="dxa" w:w="367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Broken tags, poor consent, invalid attribution or data latency.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Measurement specification, QA, reconciliation and data-owner sign-off.</w:t>
            </w:r>
          </w:p>
        </w:tc>
      </w:tr>
      <w:tr>
        <w:trPr>
          <w:cantSplit/>
        </w:trPr>
        <w:tc>
          <w:tcPr>
            <w:tcW w:type="dxa" w:w="180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Legal / regulatory</w:t>
            </w:r>
          </w:p>
        </w:tc>
        <w:tc>
          <w:tcPr>
            <w:tcW w:type="dxa" w:w="367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Misleading claims, missing disclosures, privacy or usage-rights failure.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Legal review, disclosure checklist, consent design and evidence archive.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Brand / quality</w:t>
            </w:r>
          </w:p>
        </w:tc>
        <w:tc>
          <w:tcPr>
            <w:tcW w:type="dxa" w:w="367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Inconsistent creative, factual error, cultural harm or accessibility issue.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Brand QA, factual review, localization and accessibility checklist.</w:t>
            </w:r>
          </w:p>
        </w:tc>
      </w:tr>
      <w:tr>
        <w:trPr>
          <w:cantSplit/>
        </w:trPr>
        <w:tc>
          <w:tcPr>
            <w:tcW w:type="dxa" w:w="180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Technology / cyber</w:t>
            </w:r>
          </w:p>
        </w:tc>
        <w:tc>
          <w:tcPr>
            <w:tcW w:type="dxa" w:w="367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Integration failure, unauthorized access or platform outage.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Testing, permissions, back-up process and incident plan.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AI / model risk</w:t>
            </w:r>
          </w:p>
        </w:tc>
        <w:tc>
          <w:tcPr>
            <w:tcW w:type="dxa" w:w="367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Hallucinated facts, undisclosed synthetic content, data leakage or bias.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Approved use cases, human review, provenance, restricted data and evaluation.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8.2 Disclosure and privacy controls</w:t>
      </w:r>
    </w:p>
    <w:p>
      <w:pPr>
        <w:pStyle w:val="BodyText"/>
        <w:widowControl/>
        <w:spacing w:after="120" w:line="259" w:lineRule="auto"/>
        <w:jc w:val="both"/>
      </w:pPr>
      <w:r>
        <w:rPr>
          <w:rFonts w:ascii="Inter" w:hAnsi="Inter"/>
          <w:color w:val="172033"/>
          <w:sz w:val="20"/>
        </w:rPr>
        <w:t>The FTC advises that material relationships in endorsements should be disclosed clearly and conspicuously with the endorsement itself, not hidden in a profile or behind additional clicks. [R3] The exact legal framework varies by jurisdiction, but the project workflow should always make the disclosure decision, wording, placement and approval evidence explicit.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592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Control point</w:t>
            </w:r>
          </w:p>
        </w:tc>
        <w:tc>
          <w:tcPr>
            <w:tcW w:type="dxa" w:w="662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Minimum requirement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Data collection</w:t>
            </w:r>
          </w:p>
        </w:tc>
        <w:tc>
          <w:tcPr>
            <w:tcW w:type="dxa" w:w="662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Approved purpose, lawful basis / consent as applicable, defined retention and access.</w:t>
            </w:r>
          </w:p>
        </w:tc>
      </w:tr>
      <w:tr>
        <w:trPr>
          <w:cantSplit/>
        </w:trPr>
        <w:tc>
          <w:tcPr>
            <w:tcW w:type="dxa" w:w="259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Audience and targeting</w:t>
            </w:r>
          </w:p>
        </w:tc>
        <w:tc>
          <w:tcPr>
            <w:tcW w:type="dxa" w:w="662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Permitted attributes, exclusion rules, sensitive-data restrictions and platform terms.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Cookies and tracking</w:t>
            </w:r>
          </w:p>
        </w:tc>
        <w:tc>
          <w:tcPr>
            <w:tcW w:type="dxa" w:w="662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Consent behavior, tag firing rules, regional configuration and evidence of testing.</w:t>
            </w:r>
          </w:p>
        </w:tc>
      </w:tr>
      <w:tr>
        <w:trPr>
          <w:cantSplit/>
        </w:trPr>
        <w:tc>
          <w:tcPr>
            <w:tcW w:type="dxa" w:w="259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Endorsements and creators</w:t>
            </w:r>
          </w:p>
        </w:tc>
        <w:tc>
          <w:tcPr>
            <w:tcW w:type="dxa" w:w="662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Material relationship identified, disclosure approved and placement validated.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Claims and substantiation</w:t>
            </w:r>
          </w:p>
        </w:tc>
        <w:tc>
          <w:tcPr>
            <w:tcW w:type="dxa" w:w="662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Objective claims supported by retained evidence and approved wording.</w:t>
            </w:r>
          </w:p>
        </w:tc>
      </w:tr>
      <w:tr>
        <w:trPr>
          <w:cantSplit/>
        </w:trPr>
        <w:tc>
          <w:tcPr>
            <w:tcW w:type="dxa" w:w="259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Rights and licensing</w:t>
            </w:r>
          </w:p>
        </w:tc>
        <w:tc>
          <w:tcPr>
            <w:tcW w:type="dxa" w:w="662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Usage rights for images, music, testimonials, data and generated assets.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Accessibility</w:t>
            </w:r>
          </w:p>
        </w:tc>
        <w:tc>
          <w:tcPr>
            <w:tcW w:type="dxa" w:w="662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Content, landing pages, documents and media meet applicable accessibility requirements.</w:t>
            </w:r>
          </w:p>
        </w:tc>
      </w:tr>
      <w:tr>
        <w:trPr>
          <w:cantSplit/>
        </w:trPr>
        <w:tc>
          <w:tcPr>
            <w:tcW w:type="dxa" w:w="259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Records</w:t>
            </w:r>
          </w:p>
        </w:tc>
        <w:tc>
          <w:tcPr>
            <w:tcW w:type="dxa" w:w="662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Final assets, approvals, disclosures, test evidence and key decisions archived.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8.3 Responsible AI controls</w:t>
      </w:r>
    </w:p>
    <w:p>
      <w:pPr>
        <w:pStyle w:val="BodyText"/>
        <w:widowControl/>
        <w:spacing w:after="120" w:line="259" w:lineRule="auto"/>
        <w:jc w:val="both"/>
      </w:pPr>
      <w:r>
        <w:rPr>
          <w:rFonts w:ascii="Inter" w:hAnsi="Inter"/>
          <w:color w:val="172033"/>
          <w:sz w:val="20"/>
        </w:rPr>
        <w:t>NIST’s AI Risk Management Framework and Playbook organize AI risk management around Govern, Map, Measure and Manage. [R1] For marketing teams, these functions can be translated into practical workflow controls rather than a separate policy document.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520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NIST-aligned function</w:t>
            </w:r>
          </w:p>
        </w:tc>
        <w:tc>
          <w:tcPr>
            <w:tcW w:type="dxa" w:w="6696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Marketing implementation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7"/>
              </w:rPr>
              <w:t>Govern</w:t>
            </w:r>
          </w:p>
        </w:tc>
        <w:tc>
          <w:tcPr>
            <w:tcW w:type="dxa" w:w="669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7"/>
              </w:rPr>
              <w:t>Approved AI use cases, accountable owner, training, restricted data, supplier requirements and incident escalation.</w:t>
            </w:r>
          </w:p>
        </w:tc>
      </w:tr>
      <w:tr>
        <w:trPr>
          <w:cantSplit/>
        </w:trPr>
        <w:tc>
          <w:tcPr>
            <w:tcW w:type="dxa" w:w="252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7"/>
              </w:rPr>
              <w:t>Map</w:t>
            </w:r>
          </w:p>
        </w:tc>
        <w:tc>
          <w:tcPr>
            <w:tcW w:type="dxa" w:w="669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7"/>
              </w:rPr>
              <w:t>Document the audience, task, model, content type, risk context, affected stakeholders and potential harm.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7"/>
              </w:rPr>
              <w:t>Measure</w:t>
            </w:r>
          </w:p>
        </w:tc>
        <w:tc>
          <w:tcPr>
            <w:tcW w:type="dxa" w:w="669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7"/>
              </w:rPr>
              <w:t>Evaluate factual accuracy, bias, brand alignment, privacy, originality, disclosure needs and output reliability.</w:t>
            </w:r>
          </w:p>
        </w:tc>
      </w:tr>
      <w:tr>
        <w:trPr>
          <w:cantSplit/>
        </w:trPr>
        <w:tc>
          <w:tcPr>
            <w:tcW w:type="dxa" w:w="252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7"/>
              </w:rPr>
              <w:t>Manage</w:t>
            </w:r>
          </w:p>
        </w:tc>
        <w:tc>
          <w:tcPr>
            <w:tcW w:type="dxa" w:w="669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7"/>
              </w:rPr>
              <w:t>Apply human approval, revise or reject outputs, record provenance, monitor incidents and improve controls.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014"/>
      </w:tblGrid>
      <w:tr>
        <w:tc>
          <w:tcPr>
            <w:tcW w:type="dxa" w:w="4968"/>
            <w:shd w:fill="D9485F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8"/>
            <w:shd w:fill="FCECEF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D9485F"/>
                <w:sz w:val="18"/>
              </w:rPr>
              <w:t>AI RELEASE GATE</w:t>
            </w:r>
          </w:p>
          <w:p>
            <w:pPr>
              <w:spacing w:after="0" w:line="250" w:lineRule="auto"/>
            </w:pPr>
            <w:r>
              <w:rPr>
                <w:rFonts w:ascii="Inter" w:hAnsi="Inter"/>
                <w:color w:val="172033"/>
                <w:sz w:val="19"/>
              </w:rPr>
              <w:t>No AI-generated output should be published solely because it is fast or grammatically polished. The accountable human owner must verify facts, rights, claims, audience suitability, disclosure obligations and brand standards.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240" w:after="100"/>
      </w:pPr>
      <w:r>
        <w:t>Applied learning and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365F91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0"/>
              </w:rPr>
              <w:t>LECTURE 08 APPLICATION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WORKSHOP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Create a risk register for a data-driven campaign using probability, impact, owner, response, trigger and residual risk. Add privacy, disclosure, intellectual-property and generative-AI approval checks to the launch gate.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KNOWLEDGE CHECK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1. What is the difference between a risk response and a contingency action?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2. Which compliance controls must be designed before content production?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3. Why does human review not remove the need for AI provenance and accountability?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936" w:left="1080" w:header="360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C6B7A"/>
        <w:sz w:val="15"/>
      </w:rPr>
      <w:t>Prepared for Ahmed Labib  |  July 2026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216"/>
      <w:gridCol w:w="3216"/>
      <w:gridCol w:w="3216"/>
    </w:tblGrid>
    <w:tr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r>
            <w:rPr>
              <w:rFonts w:ascii="Inter" w:hAnsi="Inter"/>
              <w:color w:val="5E687B"/>
              <w:sz w:val="16"/>
            </w:rPr>
            <w:t>Ahmed Labib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center"/>
          </w:pPr>
          <w:r>
            <w:rPr>
              <w:rFonts w:ascii="Inter" w:hAnsi="Inter"/>
              <w:b/>
              <w:color w:val="6C4CF1"/>
              <w:sz w:val="16"/>
            </w:rPr>
            <w:t>CONFIDENTIAL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right"/>
          </w:pPr>
          <w:r>
            <w:rPr>
              <w:rFonts w:ascii="Inter" w:hAnsi="Inter"/>
              <w:color w:val="5E687B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  <w:p>
    <w:pPr>
      <w:jc w:val="right"/>
    </w:pPr>
    <w:r>
      <w:rPr>
        <w:color w:val="5C6B7A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D9E2EC"/>
      </w:pBdr>
    </w:pPr>
    <w:r>
      <w:rPr>
        <w:rFonts w:ascii="Arial" w:hAnsi="Arial"/>
        <w:b/>
        <w:color w:val="5C6B7A"/>
        <w:sz w:val="15"/>
      </w:rPr>
      <w:t>MARKETING PROJECT MANAGEMENT  |  LECTURE 08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2736"/>
    </w:tblGrid>
    <w:tr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MARKETING PROJECT MANAGEMENT COURSE</w:t>
          </w:r>
        </w:p>
      </w:tc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  <w:jc w:val="right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13-LECTURE PROFESSIONAL EDITION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Inter" w:hAnsi="Inter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Inter" w:hAnsi="Inte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nist.gov/itl/ai-risk-management-framework" TargetMode="External"/><Relationship Id="rId17" Type="http://schemas.openxmlformats.org/officeDocument/2006/relationships/hyperlink" Target="https://support.google.com/analytics/answer/12966437?hl=en" TargetMode="External"/><Relationship Id="rId18" Type="http://schemas.openxmlformats.org/officeDocument/2006/relationships/hyperlink" Target="https://www.ftc.gov/business-guidance/resources/disclosures-101-social-media-influencers" TargetMode="External"/><Relationship Id="rId19" Type="http://schemas.openxmlformats.org/officeDocument/2006/relationships/hyperlink" Target="https://arxiv.org/abs/1901.05771" TargetMode="External"/><Relationship Id="rId20" Type="http://schemas.openxmlformats.org/officeDocument/2006/relationships/hyperlink" Target="https://arxiv.org/abs/2412.02041" TargetMode="External"/><Relationship Id="rId21" Type="http://schemas.openxmlformats.org/officeDocument/2006/relationships/hyperlink" Target="https://arxiv.org/abs/2203.00430" TargetMode="External"/><Relationship Id="rId22" Type="http://schemas.openxmlformats.org/officeDocument/2006/relationships/hyperlink" Target="https://arxiv.org/abs/1911.09964" TargetMode="External"/><Relationship Id="rId23" Type="http://schemas.openxmlformats.org/officeDocument/2006/relationships/hyperlink" Target="https://arxiv.org/abs/2605.14021" TargetMode="External"/><Relationship Id="rId2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08 - Risk, Compliance And Ai Governance</dc:title>
  <dc:subject>Marketing Project Management Professional Course</dc:subject>
  <dc:creator>Ahmed Labib</dc:creator>
  <cp:keywords>marketing project management, governance, course, lecture</cp:keywords>
  <dc:description>Standalone lecture extracted from the premium professional course manual.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