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5A43D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00A7A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F2B84B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480" w:after="40"/>
      </w:pPr>
      <w:r>
        <w:rPr>
          <w:rFonts w:ascii="Arial" w:hAnsi="Arial"/>
          <w:b/>
          <w:color w:val="5A43D6"/>
          <w:sz w:val="20"/>
        </w:rPr>
        <w:t>PROFESSIONAL COURSE SERIES</w:t>
      </w:r>
    </w:p>
    <w:p>
      <w:pPr>
        <w:spacing w:before="40" w:after="0"/>
      </w:pPr>
      <w:r>
        <w:rPr>
          <w:rFonts w:ascii="Arial" w:hAnsi="Arial"/>
          <w:b/>
          <w:color w:val="10243E"/>
          <w:sz w:val="60"/>
        </w:rPr>
        <w:t>MARKETING PROJECT</w:t>
      </w:r>
    </w:p>
    <w:p>
      <w:pPr>
        <w:spacing w:before="0" w:after="320"/>
        <w:pBdr>
          <w:bottom w:val="single" w:sz="24" w:space="5" w:color="00A7A7"/>
        </w:pBdr>
      </w:pPr>
      <w:r>
        <w:rPr>
          <w:rFonts w:ascii="Arial" w:hAnsi="Arial"/>
          <w:b/>
          <w:color w:val="10243E"/>
          <w:sz w:val="60"/>
        </w:rPr>
        <w:t>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5A43D6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LECTURE</w:t>
              <w:br/>
              <w:t>09</w:t>
            </w:r>
          </w:p>
        </w:tc>
        <w:tc>
          <w:tcPr>
            <w:tcW w:type="dxa" w:w="7344"/>
            <w:shd w:fill="F3F6FA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2638"/>
                <w:sz w:val="32"/>
              </w:rPr>
              <w:t>STAKEHOLDER COMMUNICATION AND COLLABORATION</w:t>
            </w:r>
          </w:p>
        </w:tc>
      </w:tr>
    </w:tbl>
    <w:p>
      <w:pPr>
        <w:spacing w:before="440" w:after="120"/>
      </w:pPr>
      <w:r>
        <w:rPr>
          <w:rFonts w:ascii="Arial" w:hAnsi="Arial"/>
          <w:b/>
          <w:color w:val="00A7A7"/>
          <w:sz w:val="19"/>
        </w:rPr>
        <w:t>COURSE POSITIONING</w:t>
      </w:r>
    </w:p>
    <w:p>
      <w:pPr>
        <w:spacing w:after="360"/>
      </w:pPr>
      <w:r>
        <w:rPr>
          <w:rFonts w:ascii="Arial" w:hAnsi="Arial"/>
          <w:color w:val="5C6B7A"/>
          <w:sz w:val="24"/>
        </w:rPr>
        <w:t>Strategy  |  Governance  |  Delivery  |  Measurement  |  Applied Learning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Ahmed Labib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EDITION</w:t>
            </w:r>
          </w:p>
        </w:tc>
        <w:tc>
          <w:tcPr>
            <w:tcW w:type="dxa" w:w="7344"/>
            <w:shd w:fill="F3F6FA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Lecture-Based Professional Course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ISSUE DATE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July 2026</w:t>
            </w:r>
          </w:p>
        </w:tc>
      </w:tr>
    </w:tbl>
    <w:p>
      <w:pPr>
        <w:spacing w:before="480" w:after="0"/>
      </w:pPr>
      <w:r>
        <w:rPr>
          <w:rFonts w:ascii="Arial" w:hAnsi="Arial"/>
          <w:i/>
          <w:color w:val="5C6B7A"/>
          <w:sz w:val="18"/>
        </w:rPr>
        <w:t>A standalone lecture from the premium Marketing Project Management professional course.</w:t>
      </w:r>
    </w:p>
    <w:p>
      <w:pPr>
        <w:spacing w:before="160" w:after="0"/>
      </w:pPr>
      <w:r>
        <w:rPr>
          <w:rFonts w:ascii="Arial" w:hAnsi="Arial"/>
          <w:b/>
          <w:color w:val="5A43D6"/>
          <w:sz w:val="17"/>
        </w:rPr>
        <w:t>CONFIDENTIAL  |  PROFESSIONAL LEARNING MATERIAL</w:t>
      </w:r>
    </w:p>
    <w:p>
      <w:pPr>
        <w:spacing w:after="0"/>
      </w:pPr>
      <w:r>
        <w:br w:type="page"/>
      </w:r>
    </w:p>
    <w:p>
      <w:pPr>
        <w:pStyle w:val="Heading1"/>
        <w:keepNext/>
        <w:pageBreakBefore w:val="0"/>
        <w:widowControl/>
        <w:spacing w:before="0" w:after="80"/>
      </w:pPr>
      <w:r>
        <w:rPr>
          <w:rFonts w:ascii="Inter" w:hAnsi="Inter"/>
          <w:b/>
          <w:color w:val="365F91"/>
          <w:sz w:val="28"/>
        </w:rPr>
        <w:t>LECTURE 09  |  STAKEHOLDER COMMUNICATION AND COLLABORATION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6C4CF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widowControl/>
        <w:spacing w:before="140" w:after="240"/>
      </w:pPr>
      <w:r>
        <w:rPr>
          <w:rFonts w:ascii="Inter" w:hAnsi="Inter"/>
          <w:i/>
          <w:color w:val="66758C"/>
          <w:sz w:val="20"/>
        </w:rPr>
        <w:t>Creating decision velocity, transparency and disciplined escalation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172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1"/>
              </w:rPr>
              <w:t>LECTURE 09 BRIEF  |  90 MINUTES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LEARNING OUTCOMES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1. Map stakeholder interest, influence, information needs and decision authority.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2. Design a communication cadence that supports action rather than reporting volume.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3. Produce a concise status report with decisions, exceptions and escalation triggers.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SESSION FLOW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10 min stakeholder architecture  |  20 min RACI and authority  |  20 min cadence  |  30 min status-report workshop  |  10 min review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OUTPUT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72033"/>
                <w:sz w:val="18"/>
              </w:rPr>
              <w:t>Stakeholder map, RACI, communication plan and one-page status report.</w:t>
            </w:r>
          </w:p>
        </w:tc>
      </w:tr>
    </w:tbl>
    <w:p/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9.1 Stakeholder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08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Stakeholder group</w:t>
            </w:r>
          </w:p>
        </w:tc>
        <w:tc>
          <w:tcPr>
            <w:tcW w:type="dxa" w:w="338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Primary interest</w:t>
            </w:r>
          </w:p>
        </w:tc>
        <w:tc>
          <w:tcPr>
            <w:tcW w:type="dxa" w:w="37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Required engagement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Executive sponsor</w:t>
            </w:r>
          </w:p>
        </w:tc>
        <w:tc>
          <w:tcPr>
            <w:tcW w:type="dxa" w:w="338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Business outcome, risk, investment and strategic alignment.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Decision-focused updates, forecast, exceptions and recommendations.</w:t>
            </w:r>
          </w:p>
        </w:tc>
      </w:tr>
      <w:tr>
        <w:trPr>
          <w:cantSplit/>
        </w:trPr>
        <w:tc>
          <w:tcPr>
            <w:tcW w:type="dxa" w:w="20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Marketing leadership</w:t>
            </w:r>
          </w:p>
        </w:tc>
        <w:tc>
          <w:tcPr>
            <w:tcW w:type="dxa" w:w="338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Portfolio balance, capability and brand / channel performance.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Portfolio review and resource trade-offs.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Project team</w:t>
            </w:r>
          </w:p>
        </w:tc>
        <w:tc>
          <w:tcPr>
            <w:tcW w:type="dxa" w:w="338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Requirements, priorities, dependencies and fast decisions.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Daily workflow visibility and short operational cadence.</w:t>
            </w:r>
          </w:p>
        </w:tc>
      </w:tr>
      <w:tr>
        <w:trPr>
          <w:cantSplit/>
        </w:trPr>
        <w:tc>
          <w:tcPr>
            <w:tcW w:type="dxa" w:w="20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Sales / product / operations</w:t>
            </w:r>
          </w:p>
        </w:tc>
        <w:tc>
          <w:tcPr>
            <w:tcW w:type="dxa" w:w="338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Launch readiness, lead handling, product claims and customer experience.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Joint milestones, acceptance and transition planning.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Analytics / RevOps</w:t>
            </w:r>
          </w:p>
        </w:tc>
        <w:tc>
          <w:tcPr>
            <w:tcW w:type="dxa" w:w="338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Tracking, attribution, data quality and reporting.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Early design involvement and QA sign-off.</w:t>
            </w:r>
          </w:p>
        </w:tc>
      </w:tr>
      <w:tr>
        <w:trPr>
          <w:cantSplit/>
        </w:trPr>
        <w:tc>
          <w:tcPr>
            <w:tcW w:type="dxa" w:w="20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Legal / privacy / security</w:t>
            </w:r>
          </w:p>
        </w:tc>
        <w:tc>
          <w:tcPr>
            <w:tcW w:type="dxa" w:w="338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Claims, data use, rights, disclosures and risk tolerance.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Risk-based review with agreed turnaround times.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Finance / procurement</w:t>
            </w:r>
          </w:p>
        </w:tc>
        <w:tc>
          <w:tcPr>
            <w:tcW w:type="dxa" w:w="338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Budget, commitments, vendor terms and value realization.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Forecast, PO / contract controls and closure reconciliation.</w:t>
            </w:r>
          </w:p>
        </w:tc>
      </w:tr>
      <w:tr>
        <w:trPr>
          <w:cantSplit/>
        </w:trPr>
        <w:tc>
          <w:tcPr>
            <w:tcW w:type="dxa" w:w="20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Client / external partner</w:t>
            </w:r>
          </w:p>
        </w:tc>
        <w:tc>
          <w:tcPr>
            <w:tcW w:type="dxa" w:w="338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Scope, approvals, deliverables, dependencies and feedback.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Shared status, formal decisions and documented change control.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9.2 Communication cadence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9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Forum</w:t>
            </w:r>
          </w:p>
        </w:tc>
        <w:tc>
          <w:tcPr>
            <w:tcW w:type="dxa" w:w="165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Cadence</w:t>
            </w:r>
          </w:p>
        </w:tc>
        <w:tc>
          <w:tcPr>
            <w:tcW w:type="dxa" w:w="367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9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Delivery stand-up</w:t>
            </w:r>
          </w:p>
        </w:tc>
        <w:tc>
          <w:tcPr>
            <w:tcW w:type="dxa" w:w="16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Daily or 2–3 times weekly</w:t>
            </w:r>
          </w:p>
        </w:tc>
        <w:tc>
          <w:tcPr>
            <w:tcW w:type="dxa" w:w="367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Blockers, priorities and immediate dependencies.</w:t>
            </w:r>
          </w:p>
        </w:tc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Updated tasks and issue ownership.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Project status review</w:t>
            </w:r>
          </w:p>
        </w:tc>
        <w:tc>
          <w:tcPr>
            <w:tcW w:type="dxa" w:w="16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Weekly</w:t>
            </w:r>
          </w:p>
        </w:tc>
        <w:tc>
          <w:tcPr>
            <w:tcW w:type="dxa" w:w="367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Progress, forecast, budget, risk and decisions.</w:t>
            </w:r>
          </w:p>
        </w:tc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One-page status report and action log.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Creative / technical review</w:t>
            </w:r>
          </w:p>
        </w:tc>
        <w:tc>
          <w:tcPr>
            <w:tcW w:type="dxa" w:w="16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By milestone</w:t>
            </w:r>
          </w:p>
        </w:tc>
        <w:tc>
          <w:tcPr>
            <w:tcW w:type="dxa" w:w="367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Quality, consistency, feasibility and acceptance.</w:t>
            </w:r>
          </w:p>
        </w:tc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Approved deliverable or revision actions.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Steering review</w:t>
            </w:r>
          </w:p>
        </w:tc>
        <w:tc>
          <w:tcPr>
            <w:tcW w:type="dxa" w:w="16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Biweekly or monthly</w:t>
            </w:r>
          </w:p>
        </w:tc>
        <w:tc>
          <w:tcPr>
            <w:tcW w:type="dxa" w:w="367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Exceptions, trade-offs, scope changes and strategic alignment.</w:t>
            </w:r>
          </w:p>
        </w:tc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Decisions and revised direction.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Performance optimization</w:t>
            </w:r>
          </w:p>
        </w:tc>
        <w:tc>
          <w:tcPr>
            <w:tcW w:type="dxa" w:w="16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Weekly / campaign-specific</w:t>
            </w:r>
          </w:p>
        </w:tc>
        <w:tc>
          <w:tcPr>
            <w:tcW w:type="dxa" w:w="367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Channel results, tests and budget shifts.</w:t>
            </w:r>
          </w:p>
        </w:tc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Optimization actions and updated forecast.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Post-mortem</w:t>
            </w:r>
          </w:p>
        </w:tc>
        <w:tc>
          <w:tcPr>
            <w:tcW w:type="dxa" w:w="16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Within 1–2 weeks of closure</w:t>
            </w:r>
          </w:p>
        </w:tc>
        <w:tc>
          <w:tcPr>
            <w:tcW w:type="dxa" w:w="367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Outcome, delivery, root causes and reusable learning.</w:t>
            </w:r>
          </w:p>
        </w:tc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Lessons log and process improvements.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9.3 One-page status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4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76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Overall status</w:t>
            </w:r>
          </w:p>
        </w:tc>
        <w:tc>
          <w:tcPr>
            <w:tcW w:type="dxa" w:w="67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RAG status with a one-sentence rationale.</w:t>
            </w:r>
          </w:p>
        </w:tc>
      </w:tr>
      <w:tr>
        <w:trPr>
          <w:cantSplit/>
        </w:trPr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Outcome and scope</w:t>
            </w:r>
          </w:p>
        </w:tc>
        <w:tc>
          <w:tcPr>
            <w:tcW w:type="dxa" w:w="67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Objective, approved scope and any pending change.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Milestones</w:t>
            </w:r>
          </w:p>
        </w:tc>
        <w:tc>
          <w:tcPr>
            <w:tcW w:type="dxa" w:w="67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Baseline, current forecast and variance.</w:t>
            </w:r>
          </w:p>
        </w:tc>
      </w:tr>
      <w:tr>
        <w:trPr>
          <w:cantSplit/>
        </w:trPr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Budget</w:t>
            </w:r>
          </w:p>
        </w:tc>
        <w:tc>
          <w:tcPr>
            <w:tcW w:type="dxa" w:w="67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Budget, actual, committed, EAC and variance.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Performance</w:t>
            </w:r>
          </w:p>
        </w:tc>
        <w:tc>
          <w:tcPr>
            <w:tcW w:type="dxa" w:w="67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Outcome KPIs, leading indicators and data-quality note.</w:t>
            </w:r>
          </w:p>
        </w:tc>
      </w:tr>
      <w:tr>
        <w:trPr>
          <w:cantSplit/>
        </w:trPr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Top risks / issues</w:t>
            </w:r>
          </w:p>
        </w:tc>
        <w:tc>
          <w:tcPr>
            <w:tcW w:type="dxa" w:w="67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Owner, response, due date and residual exposure.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Decisions required</w:t>
            </w:r>
          </w:p>
        </w:tc>
        <w:tc>
          <w:tcPr>
            <w:tcW w:type="dxa" w:w="67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Decision, options, recommendation and deadline.</w:t>
            </w:r>
          </w:p>
        </w:tc>
      </w:tr>
      <w:tr>
        <w:trPr>
          <w:cantSplit/>
        </w:trPr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Next period</w:t>
            </w:r>
          </w:p>
        </w:tc>
        <w:tc>
          <w:tcPr>
            <w:tcW w:type="dxa" w:w="67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Critical deliverables and stakeholder obligations.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00"/>
      </w:pPr>
      <w:r>
        <w:t>Applied learning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365F91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0"/>
              </w:rPr>
              <w:t>LECTURE 09 APPLICATION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WORKSHOP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Prepare a RACI and one-page status report for a delayed campaign. Include objective, milestone status, budget, KPI readiness, top risks, changes, decisions required, owners and due dates.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KNOWLEDGE CHECK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1. How does decision authority differ from consultation?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2. Which information belongs in an executive status report?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3. What conditions should trigger formal escalation?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936" w:left="1080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C6B7A"/>
        <w:sz w:val="15"/>
      </w:rPr>
      <w:t>Prepared for Ahmed Labib  |  July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r>
            <w:rPr>
              <w:rFonts w:ascii="Inter" w:hAnsi="Inter"/>
              <w:color w:val="5E687B"/>
              <w:sz w:val="16"/>
            </w:rPr>
            <w:t>Ahmed Labib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center"/>
          </w:pPr>
          <w:r>
            <w:rPr>
              <w:rFonts w:ascii="Inter" w:hAnsi="Inter"/>
              <w:b/>
              <w:color w:val="6C4CF1"/>
              <w:sz w:val="16"/>
            </w:rPr>
            <w:t>CONFIDENTIAL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right"/>
          </w:pPr>
          <w:r>
            <w:rPr>
              <w:rFonts w:ascii="Inter" w:hAnsi="Inter"/>
              <w:color w:val="5E687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jc w:val="right"/>
    </w:pPr>
    <w:r>
      <w:rPr>
        <w:color w:val="5C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EC"/>
      </w:pBdr>
    </w:pPr>
    <w:r>
      <w:rPr>
        <w:rFonts w:ascii="Arial" w:hAnsi="Arial"/>
        <w:b/>
        <w:color w:val="5C6B7A"/>
        <w:sz w:val="15"/>
      </w:rPr>
      <w:t>MARKETING PROJECT MANAGEMENT  |  LECTURE 09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MARKETING PROJECT MANAGEMENT COURSE</w:t>
          </w:r>
        </w:p>
      </w:tc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13-LECTURE PROFESSIONAL EDITION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support.google.com/analytics/answer/12966437?hl=en" TargetMode="External"/><Relationship Id="rId18" Type="http://schemas.openxmlformats.org/officeDocument/2006/relationships/hyperlink" Target="https://www.ftc.gov/business-guidance/resources/disclosures-101-social-media-influencers" TargetMode="External"/><Relationship Id="rId19" Type="http://schemas.openxmlformats.org/officeDocument/2006/relationships/hyperlink" Target="https://arxiv.org/abs/1901.05771" TargetMode="External"/><Relationship Id="rId20" Type="http://schemas.openxmlformats.org/officeDocument/2006/relationships/hyperlink" Target="https://arxiv.org/abs/2412.02041" TargetMode="External"/><Relationship Id="rId21" Type="http://schemas.openxmlformats.org/officeDocument/2006/relationships/hyperlink" Target="https://arxiv.org/abs/2203.00430" TargetMode="External"/><Relationship Id="rId22" Type="http://schemas.openxmlformats.org/officeDocument/2006/relationships/hyperlink" Target="https://arxiv.org/abs/1911.09964" TargetMode="External"/><Relationship Id="rId23" Type="http://schemas.openxmlformats.org/officeDocument/2006/relationships/hyperlink" Target="https://arxiv.org/abs/2605.14021" TargetMode="Externa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09 - Stakeholder Communication And Collaboration</dc:title>
  <dc:subject>Marketing Project Management Professional Course</dc:subject>
  <dc:creator>Ahmed Labib</dc:creator>
  <cp:keywords>marketing project management, governance, course, lecture</cp:keywords>
  <dc:description>Standalone lecture extracted from the premium professional course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