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10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TOOL STRATEGY AND VENDOR EVALUATION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10  |  TOOL STRATEGY AND VENDOR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Selecting an architecture that supports governance rather than substituting for 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10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Compare unified platforms, integrated best-of-breed stacks and specialized tools.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Build a weighted scorecard linked to operating requirements and risk.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Run controlled demonstrations, pilots, due diligence and total-cost evaluation.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architecture options  |  25 min requirements  |  20 min scorecard and TCO  |  25 min vendor exercise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Weighted vendor evaluation and recommendation memorandum.</w:t>
            </w:r>
          </w:p>
        </w:tc>
      </w:tr>
    </w:tbl>
    <w:p/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10.1 Architecture options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The source distinguishes task and workflow tools, all-in-one agency platforms and specialized marketing suites. [S1] The decision should be based on operating-model fit, data ownership, integration, governance, adoption and total cost—not the length of a feature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23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Architecture</w:t>
            </w:r>
          </w:p>
        </w:tc>
        <w:tc>
          <w:tcPr>
            <w:tcW w:type="dxa" w:w="309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Strengths</w:t>
            </w:r>
          </w:p>
        </w:tc>
        <w:tc>
          <w:tcPr>
            <w:tcW w:type="dxa" w:w="288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Limitations</w:t>
            </w:r>
          </w:p>
        </w:tc>
        <w:tc>
          <w:tcPr>
            <w:tcW w:type="dxa" w:w="172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Best fit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All-in-one agency operations platform</w:t>
            </w:r>
          </w:p>
        </w:tc>
        <w:tc>
          <w:tcPr>
            <w:tcW w:type="dxa" w:w="309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Work, resourcing, time, budget, documents and profitability in one environment.</w:t>
            </w:r>
          </w:p>
        </w:tc>
        <w:tc>
          <w:tcPr>
            <w:tcW w:type="dxa" w:w="28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May be heavy for in-house teams and not best-in-class for CRM or analytics.</w:t>
            </w:r>
          </w:p>
        </w:tc>
        <w:tc>
          <w:tcPr>
            <w:tcW w:type="dxa" w:w="17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Agencies and professional-service teams requiring engagement economics.</w:t>
            </w:r>
          </w:p>
        </w:tc>
      </w:tr>
      <w:tr>
        <w:trPr>
          <w:cantSplit/>
        </w:trPr>
        <w:tc>
          <w:tcPr>
            <w:tcW w:type="dxa" w:w="223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CRM-led marketing suite + PM layer</w:t>
            </w:r>
          </w:p>
        </w:tc>
        <w:tc>
          <w:tcPr>
            <w:tcW w:type="dxa" w:w="309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Strong customer record, automation, lead management and campaign execution.</w:t>
            </w:r>
          </w:p>
        </w:tc>
        <w:tc>
          <w:tcPr>
            <w:tcW w:type="dxa" w:w="28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Delivery and capacity control may be split across systems.</w:t>
            </w:r>
          </w:p>
        </w:tc>
        <w:tc>
          <w:tcPr>
            <w:tcW w:type="dxa" w:w="17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In-house growth, demand generation and lifecycle teams.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Enterprise work management + specialist stack</w:t>
            </w:r>
          </w:p>
        </w:tc>
        <w:tc>
          <w:tcPr>
            <w:tcW w:type="dxa" w:w="309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Strong portfolio control with CRM, analytics, DAM, consent and channel tools.</w:t>
            </w:r>
          </w:p>
        </w:tc>
        <w:tc>
          <w:tcPr>
            <w:tcW w:type="dxa" w:w="28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Integration and governance burden.</w:t>
            </w:r>
          </w:p>
        </w:tc>
        <w:tc>
          <w:tcPr>
            <w:tcW w:type="dxa" w:w="17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Larger organizations with mature systems and operating discipline.</w:t>
            </w:r>
          </w:p>
        </w:tc>
      </w:tr>
      <w:tr>
        <w:trPr>
          <w:cantSplit/>
        </w:trPr>
        <w:tc>
          <w:tcPr>
            <w:tcW w:type="dxa" w:w="223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Lightweight task tool + manual reporting</w:t>
            </w:r>
          </w:p>
        </w:tc>
        <w:tc>
          <w:tcPr>
            <w:tcW w:type="dxa" w:w="309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Fast adoption and low direct cost.</w:t>
            </w:r>
          </w:p>
        </w:tc>
        <w:tc>
          <w:tcPr>
            <w:tcW w:type="dxa" w:w="28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Weak financial, resource, data and governance visibility.</w:t>
            </w:r>
          </w:p>
        </w:tc>
        <w:tc>
          <w:tcPr>
            <w:tcW w:type="dxa" w:w="17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Small, low-complexity teams or short pilot phase.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10.2 Weighted vendor scorecard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16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Evaluation domain</w:t>
            </w:r>
          </w:p>
        </w:tc>
        <w:tc>
          <w:tcPr>
            <w:tcW w:type="dxa" w:w="108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496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Illustrative criteria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Workflow and project control</w:t>
            </w:r>
          </w:p>
        </w:tc>
        <w:tc>
          <w:tcPr>
            <w:tcW w:type="dxa" w:w="10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18%</w:t>
            </w:r>
          </w:p>
        </w:tc>
        <w:tc>
          <w:tcPr>
            <w:tcW w:type="dxa" w:w="49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Templates, dependencies, approvals, baselines, change log, milestones, portfolio views.</w:t>
            </w:r>
          </w:p>
        </w:tc>
      </w:tr>
      <w:tr>
        <w:trPr>
          <w:cantSplit/>
        </w:trPr>
        <w:tc>
          <w:tcPr>
            <w:tcW w:type="dxa" w:w="31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Resource and capacity</w:t>
            </w:r>
          </w:p>
        </w:tc>
        <w:tc>
          <w:tcPr>
            <w:tcW w:type="dxa" w:w="10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14%</w:t>
            </w:r>
          </w:p>
        </w:tc>
        <w:tc>
          <w:tcPr>
            <w:tcW w:type="dxa" w:w="49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Role / skill capacity, heatmaps, allocation, utilization, leave and scenario planning.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Financial control</w:t>
            </w:r>
          </w:p>
        </w:tc>
        <w:tc>
          <w:tcPr>
            <w:tcW w:type="dxa" w:w="10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14%</w:t>
            </w:r>
          </w:p>
        </w:tc>
        <w:tc>
          <w:tcPr>
            <w:tcW w:type="dxa" w:w="49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Budgets, rates, actuals, commitments, forecasts, profitability and billing integration.</w:t>
            </w:r>
          </w:p>
        </w:tc>
      </w:tr>
      <w:tr>
        <w:trPr>
          <w:cantSplit/>
        </w:trPr>
        <w:tc>
          <w:tcPr>
            <w:tcW w:type="dxa" w:w="31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Measurement and reporting</w:t>
            </w:r>
          </w:p>
        </w:tc>
        <w:tc>
          <w:tcPr>
            <w:tcW w:type="dxa" w:w="10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12%</w:t>
            </w:r>
          </w:p>
        </w:tc>
        <w:tc>
          <w:tcPr>
            <w:tcW w:type="dxa" w:w="49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Custom metrics, data integration, dashboards, export, data lineage and report governance.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Collaboration and client access</w:t>
            </w:r>
          </w:p>
        </w:tc>
        <w:tc>
          <w:tcPr>
            <w:tcW w:type="dxa" w:w="10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10%</w:t>
            </w:r>
          </w:p>
        </w:tc>
        <w:tc>
          <w:tcPr>
            <w:tcW w:type="dxa" w:w="49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Docs, comments, permissions, portals, notifications and decision tracking.</w:t>
            </w:r>
          </w:p>
        </w:tc>
      </w:tr>
      <w:tr>
        <w:trPr>
          <w:cantSplit/>
        </w:trPr>
        <w:tc>
          <w:tcPr>
            <w:tcW w:type="dxa" w:w="31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Automation and AI</w:t>
            </w:r>
          </w:p>
        </w:tc>
        <w:tc>
          <w:tcPr>
            <w:tcW w:type="dxa" w:w="10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8%</w:t>
            </w:r>
          </w:p>
        </w:tc>
        <w:tc>
          <w:tcPr>
            <w:tcW w:type="dxa" w:w="49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Workflow automation, summaries, responsible AI controls, auditability and human approval.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Integration and architecture</w:t>
            </w:r>
          </w:p>
        </w:tc>
        <w:tc>
          <w:tcPr>
            <w:tcW w:type="dxa" w:w="10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8%</w:t>
            </w:r>
          </w:p>
        </w:tc>
        <w:tc>
          <w:tcPr>
            <w:tcW w:type="dxa" w:w="49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APIs, identity, CRM, analytics, DAM, finance, webhooks and data ownership.</w:t>
            </w:r>
          </w:p>
        </w:tc>
      </w:tr>
      <w:tr>
        <w:trPr>
          <w:cantSplit/>
        </w:trPr>
        <w:tc>
          <w:tcPr>
            <w:tcW w:type="dxa" w:w="31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Security, privacy and compliance</w:t>
            </w:r>
          </w:p>
        </w:tc>
        <w:tc>
          <w:tcPr>
            <w:tcW w:type="dxa" w:w="10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8%</w:t>
            </w:r>
          </w:p>
        </w:tc>
        <w:tc>
          <w:tcPr>
            <w:tcW w:type="dxa" w:w="49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Roles, audit logs, retention, residency, certifications and supplier controls.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Adoption and administration</w:t>
            </w:r>
          </w:p>
        </w:tc>
        <w:tc>
          <w:tcPr>
            <w:tcW w:type="dxa" w:w="10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5%</w:t>
            </w:r>
          </w:p>
        </w:tc>
        <w:tc>
          <w:tcPr>
            <w:tcW w:type="dxa" w:w="49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Usability, mobile, training, configuration, support and admin effort.</w:t>
            </w:r>
          </w:p>
        </w:tc>
      </w:tr>
      <w:tr>
        <w:trPr>
          <w:cantSplit/>
        </w:trPr>
        <w:tc>
          <w:tcPr>
            <w:tcW w:type="dxa" w:w="31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Commercial / total cost</w:t>
            </w:r>
          </w:p>
        </w:tc>
        <w:tc>
          <w:tcPr>
            <w:tcW w:type="dxa" w:w="10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3%</w:t>
            </w:r>
          </w:p>
        </w:tc>
        <w:tc>
          <w:tcPr>
            <w:tcW w:type="dxa" w:w="49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Licenses, implementation, migration, integrations, support and exit costs.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10.3 Procurement controls</w:t>
      </w:r>
    </w:p>
    <w:p>
      <w:pPr>
        <w:pStyle w:val="ListBullet"/>
        <w:widowControl/>
        <w:spacing w:after="60" w:line="247" w:lineRule="auto"/>
        <w:ind w:left="317" w:hanging="187"/>
      </w:pPr>
      <w:r>
        <w:rPr>
          <w:rFonts w:ascii="Inter" w:hAnsi="Inter"/>
          <w:color w:val="172033"/>
          <w:sz w:val="19"/>
        </w:rPr>
        <w:t>Use a scripted demonstration based on real workflows, not vendor-selected scenarios.</w:t>
      </w:r>
    </w:p>
    <w:p>
      <w:pPr>
        <w:pStyle w:val="ListBullet"/>
        <w:widowControl/>
        <w:spacing w:after="60" w:line="247" w:lineRule="auto"/>
        <w:ind w:left="317" w:hanging="187"/>
      </w:pPr>
      <w:r>
        <w:rPr>
          <w:rFonts w:ascii="Inter" w:hAnsi="Inter"/>
          <w:color w:val="172033"/>
          <w:sz w:val="19"/>
        </w:rPr>
        <w:t>Require proof of baseline, change, resource, financial and audit-log capabilities.</w:t>
      </w:r>
    </w:p>
    <w:p>
      <w:pPr>
        <w:pStyle w:val="ListBullet"/>
        <w:widowControl/>
        <w:spacing w:after="60" w:line="247" w:lineRule="auto"/>
        <w:ind w:left="317" w:hanging="187"/>
      </w:pPr>
      <w:r>
        <w:rPr>
          <w:rFonts w:ascii="Inter" w:hAnsi="Inter"/>
          <w:color w:val="172033"/>
          <w:sz w:val="19"/>
        </w:rPr>
        <w:t>Evaluate data export, API access and migration before signing—not at renewal.</w:t>
      </w:r>
    </w:p>
    <w:p>
      <w:pPr>
        <w:pStyle w:val="ListBullet"/>
        <w:widowControl/>
        <w:spacing w:after="60" w:line="247" w:lineRule="auto"/>
        <w:ind w:left="317" w:hanging="187"/>
      </w:pPr>
      <w:r>
        <w:rPr>
          <w:rFonts w:ascii="Inter" w:hAnsi="Inter"/>
          <w:color w:val="172033"/>
          <w:sz w:val="19"/>
        </w:rPr>
        <w:t>Run a time-boxed pilot with measurable adoption and cycle-time criteria.</w:t>
      </w:r>
    </w:p>
    <w:p>
      <w:pPr>
        <w:pStyle w:val="ListBullet"/>
        <w:widowControl/>
        <w:spacing w:after="60" w:line="247" w:lineRule="auto"/>
        <w:ind w:left="317" w:hanging="187"/>
      </w:pPr>
      <w:r>
        <w:rPr>
          <w:rFonts w:ascii="Inter" w:hAnsi="Inter"/>
          <w:color w:val="172033"/>
          <w:sz w:val="19"/>
        </w:rPr>
        <w:t>Include security, privacy, AI, records, support and exit requirements in the contract.</w:t>
      </w:r>
    </w:p>
    <w:p>
      <w:pPr>
        <w:pStyle w:val="ListBullet"/>
        <w:widowControl/>
        <w:spacing w:after="60" w:line="247" w:lineRule="auto"/>
        <w:ind w:left="317" w:hanging="187"/>
      </w:pPr>
      <w:r>
        <w:rPr>
          <w:rFonts w:ascii="Inter" w:hAnsi="Inter"/>
          <w:color w:val="172033"/>
          <w:sz w:val="19"/>
        </w:rPr>
        <w:t>Calculate three-year total cost including configuration, integration, migration and administration.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014"/>
      </w:tblGrid>
      <w:tr>
        <w:tc>
          <w:tcPr>
            <w:tcW w:type="dxa" w:w="4968"/>
            <w:shd w:fill="F59E0B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FFF5DF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F59E0B"/>
                <w:sz w:val="18"/>
              </w:rPr>
              <w:t>ARCHITECTURE DECISION</w:t>
            </w:r>
          </w:p>
          <w:p>
            <w:pPr>
              <w:spacing w:after="0" w:line="250" w:lineRule="auto"/>
            </w:pPr>
            <w:r>
              <w:rPr>
                <w:rFonts w:ascii="Inter" w:hAnsi="Inter"/>
                <w:color w:val="172033"/>
                <w:sz w:val="19"/>
              </w:rPr>
              <w:t>Tool consolidation is valuable when it reduces handoffs, duplicate data and reporting effort. It is harmful when it forces weak functionality, obscures data ownership or creates a new single point of failure.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10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Evaluate three hypothetical tools against workflow, resource, financial, analytics, integration, security, data portability, AI and support criteria. Apply weights, score evidence and recommend pilot, reject or negotiate.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Why is feature count an unreliable procurement criterion?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Which requirements should be proved through a scripted demonstration?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What costs and risks are commonly omitted from a software business case?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10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Tool Strategy And Vendor Evaluation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