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11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TARGET OPERATING MODEL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11  |  TARGET OPERATING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An integrated value stream with embedded controls and clear accountability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11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Translate governance principles into an end-to-end marketing delivery value stream.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Define process ownership, accountability, information flows and control points.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Establish a governance calendar for portfolio, project, performance and learning reviews.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operating-model concept  |  25 min value stream  |  20 min roles and controls  |  25 min current-to-target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Target operating model blueprint and governance calendar.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3408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ng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Inter" w:hAnsi="Inter"/>
          <w:i/>
          <w:color w:val="5E687B"/>
          <w:sz w:val="16"/>
        </w:rPr>
        <w:t>Figure 2 — Target operating model: eight delivery stages supported by measurement, compliance and AI control lanes.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11.1 Operating principles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1.  </w:t>
      </w:r>
      <w:r>
        <w:rPr>
          <w:rFonts w:ascii="Inter" w:hAnsi="Inter"/>
          <w:color w:val="172033"/>
          <w:sz w:val="19"/>
        </w:rPr>
        <w:t>Outcome before output: every project begins with a business question and measurable intended effect.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2.  </w:t>
      </w:r>
      <w:r>
        <w:rPr>
          <w:rFonts w:ascii="Inter" w:hAnsi="Inter"/>
          <w:color w:val="172033"/>
          <w:sz w:val="19"/>
        </w:rPr>
        <w:t>One approved baseline: scope, milestones, budget, resources, risk and measurement are version-controlled.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3.  </w:t>
      </w:r>
      <w:r>
        <w:rPr>
          <w:rFonts w:ascii="Inter" w:hAnsi="Inter"/>
          <w:color w:val="172033"/>
          <w:sz w:val="19"/>
        </w:rPr>
        <w:t>Governed flow: intake, feasibility, baseline, launch and closure each have explicit exit criteria.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4.  </w:t>
      </w:r>
      <w:r>
        <w:rPr>
          <w:rFonts w:ascii="Inter" w:hAnsi="Inter"/>
          <w:color w:val="172033"/>
          <w:sz w:val="19"/>
        </w:rPr>
        <w:t>Data by design: measurement and consent are specified before build, not after launch.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5.  </w:t>
      </w:r>
      <w:r>
        <w:rPr>
          <w:rFonts w:ascii="Inter" w:hAnsi="Inter"/>
          <w:color w:val="172033"/>
          <w:sz w:val="19"/>
        </w:rPr>
        <w:t>Human accountability: tools and AI support decisions but do not own them.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6.  </w:t>
      </w:r>
      <w:r>
        <w:rPr>
          <w:rFonts w:ascii="Inter" w:hAnsi="Inter"/>
          <w:color w:val="172033"/>
          <w:sz w:val="19"/>
        </w:rPr>
        <w:t>Exception-driven management: routine delivery is visible; leadership attention is reserved for variance and decisions.</w:t>
      </w:r>
    </w:p>
    <w:p>
      <w:pPr>
        <w:widowControl/>
        <w:spacing w:after="80" w:line="247" w:lineRule="auto"/>
        <w:ind w:left="403" w:hanging="317"/>
      </w:pPr>
      <w:r>
        <w:rPr>
          <w:rFonts w:ascii="Inter" w:hAnsi="Inter"/>
          <w:b/>
          <w:color w:val="6C4CF1"/>
          <w:sz w:val="19"/>
        </w:rPr>
        <w:t xml:space="preserve">7.  </w:t>
      </w:r>
      <w:r>
        <w:rPr>
          <w:rFonts w:ascii="Inter" w:hAnsi="Inter"/>
          <w:color w:val="172033"/>
          <w:sz w:val="19"/>
        </w:rPr>
        <w:t>Learning compounds: post-mortem actions update templates, estimates, controls and reusable assets.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11.2 Accountability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08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88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Primary accountability</w:t>
            </w:r>
          </w:p>
        </w:tc>
        <w:tc>
          <w:tcPr>
            <w:tcW w:type="dxa" w:w="324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Key artifacts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Executive sponsor</w:t>
            </w:r>
          </w:p>
        </w:tc>
        <w:tc>
          <w:tcPr>
            <w:tcW w:type="dxa" w:w="38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outcome, funding, priority and escalation decisions.</w:t>
            </w:r>
          </w:p>
        </w:tc>
        <w:tc>
          <w:tcPr>
            <w:tcW w:type="dxa" w:w="324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case, gate approvals and exception decisions.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Marketing operations / PMO</w:t>
            </w:r>
          </w:p>
        </w:tc>
        <w:tc>
          <w:tcPr>
            <w:tcW w:type="dxa" w:w="38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Framework, portfolio intake, standards, reporting and maturity.</w:t>
            </w:r>
          </w:p>
        </w:tc>
        <w:tc>
          <w:tcPr>
            <w:tcW w:type="dxa" w:w="324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Templates, portfolio dashboard, governance calendar and process metrics.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Project / campaign manager</w:t>
            </w:r>
          </w:p>
        </w:tc>
        <w:tc>
          <w:tcPr>
            <w:tcW w:type="dxa" w:w="38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Integrated plan, coordination, forecast, risk and change control.</w:t>
            </w:r>
          </w:p>
        </w:tc>
        <w:tc>
          <w:tcPr>
            <w:tcW w:type="dxa" w:w="324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Charter, WBS, schedule, status, logs and closure.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Workstream owner</w:t>
            </w:r>
          </w:p>
        </w:tc>
        <w:tc>
          <w:tcPr>
            <w:tcW w:type="dxa" w:w="38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Quality and on-time delivery of assigned outputs.</w:t>
            </w:r>
          </w:p>
        </w:tc>
        <w:tc>
          <w:tcPr>
            <w:tcW w:type="dxa" w:w="324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Work plan, deliverables, estimates and evidence.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Analytics / RevOps owner</w:t>
            </w:r>
          </w:p>
        </w:tc>
        <w:tc>
          <w:tcPr>
            <w:tcW w:type="dxa" w:w="38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Measurement design, data quality, attribution and performance interpretation.</w:t>
            </w:r>
          </w:p>
        </w:tc>
        <w:tc>
          <w:tcPr>
            <w:tcW w:type="dxa" w:w="324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Measurement plan, event specification, dashboard and QA.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Legal / privacy / security</w:t>
            </w:r>
          </w:p>
        </w:tc>
        <w:tc>
          <w:tcPr>
            <w:tcW w:type="dxa" w:w="38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Risk-based approval and policy compliance.</w:t>
            </w:r>
          </w:p>
        </w:tc>
        <w:tc>
          <w:tcPr>
            <w:tcW w:type="dxa" w:w="324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Review criteria, approvals and exception records.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Finance / procurement</w:t>
            </w:r>
          </w:p>
        </w:tc>
        <w:tc>
          <w:tcPr>
            <w:tcW w:type="dxa" w:w="388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Budget integrity, commitment control and commercial assurance.</w:t>
            </w:r>
          </w:p>
        </w:tc>
        <w:tc>
          <w:tcPr>
            <w:tcW w:type="dxa" w:w="324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Cost baseline, forecast, contracts, PO and reconciliation.</w:t>
            </w:r>
          </w:p>
        </w:tc>
      </w:tr>
      <w:tr>
        <w:trPr>
          <w:cantSplit/>
        </w:trPr>
        <w:tc>
          <w:tcPr>
            <w:tcW w:type="dxa" w:w="20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System owner</w:t>
            </w:r>
          </w:p>
        </w:tc>
        <w:tc>
          <w:tcPr>
            <w:tcW w:type="dxa" w:w="388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Configuration, integration, access and platform reliability.</w:t>
            </w:r>
          </w:p>
        </w:tc>
        <w:tc>
          <w:tcPr>
            <w:tcW w:type="dxa" w:w="324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Architecture, roles, support process and audit evidence.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11.3 Governance calendar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8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396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Governance activity</w:t>
            </w:r>
          </w:p>
        </w:tc>
        <w:tc>
          <w:tcPr>
            <w:tcW w:type="dxa" w:w="34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Decision focus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Continuous</w:t>
            </w:r>
          </w:p>
        </w:tc>
        <w:tc>
          <w:tcPr>
            <w:tcW w:type="dxa" w:w="39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Intake and triage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Completeness, urgency and routing.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Weekly</w:t>
            </w:r>
          </w:p>
        </w:tc>
        <w:tc>
          <w:tcPr>
            <w:tcW w:type="dxa" w:w="39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Delivery and risk review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Forecast, blockers, changes and short-term capacity.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Biweekly</w:t>
            </w:r>
          </w:p>
        </w:tc>
        <w:tc>
          <w:tcPr>
            <w:tcW w:type="dxa" w:w="39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Portfolio and resource review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Priorities, demand-capacity trade-offs and cross-project dependencies.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Monthly</w:t>
            </w:r>
          </w:p>
        </w:tc>
        <w:tc>
          <w:tcPr>
            <w:tcW w:type="dxa" w:w="39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Executive performance review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Outcomes, budget, risk, data quality and major decisions.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Quarterly</w:t>
            </w:r>
          </w:p>
        </w:tc>
        <w:tc>
          <w:tcPr>
            <w:tcW w:type="dxa" w:w="396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Capability and tool review</w:t>
            </w:r>
          </w:p>
        </w:tc>
        <w:tc>
          <w:tcPr>
            <w:tcW w:type="dxa" w:w="34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Maturity, process efficiency, adoption, architecture and training needs.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Per project</w:t>
            </w:r>
          </w:p>
        </w:tc>
        <w:tc>
          <w:tcPr>
            <w:tcW w:type="dxa" w:w="396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Launch gate and closure review</w:t>
            </w:r>
          </w:p>
        </w:tc>
        <w:tc>
          <w:tcPr>
            <w:tcW w:type="dxa" w:w="34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Readiness, acceptance, value and lessons learned.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11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Map the current marketing workflow from intake to benefits review. Mark delays, handoff failures, duplicate entry and control gaps; redesign the target flow with owners, stage gates, systems and decision forums.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What is the difference between a process map and an operating model?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Where should measurement, privacy and approval controls enter the value stream?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How does a governance calendar improve decision velocity?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11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Target Operating Model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