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13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MATURITY MODEL, CAPSTONE AND EXECUTIVE ACTION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13  |  MATURITY MODEL, CAPSTONE AND EXECUTIVE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Sequencing capability development and executive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13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Assess current capability across governance, delivery, resources, finance, data, risk and technology.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Prioritize improvements based on value, feasibility, dependency and organizational readiness.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Integrate the course outputs into a decision-ready marketing project management transformation plan.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maturity model  |  20 min assessment dimensions  |  20 min recommendations  |  30 min capstone integration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Capstone: executive marketing project management transformation roadmap.</w:t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urity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rFonts w:ascii="Inter" w:hAnsi="Inter"/>
          <w:i/>
          <w:color w:val="5E687B"/>
          <w:sz w:val="16"/>
        </w:rPr>
        <w:t>Figure 4 — Five-level maturity model for marketing project management.</w:t>
      </w: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13.1 Maturity assessment dimensions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37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Level 1 signal</w:t>
            </w:r>
          </w:p>
        </w:tc>
        <w:tc>
          <w:tcPr>
            <w:tcW w:type="dxa" w:w="244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Level 3 signal</w:t>
            </w:r>
          </w:p>
        </w:tc>
        <w:tc>
          <w:tcPr>
            <w:tcW w:type="dxa" w:w="244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Level 5 signal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Strategy and portfolio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Requests arrive ad hoc.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Formal intake and prioritization.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Dynamic portfolio optimized for value and learning.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Planning and control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Dates and scope are informal.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Approved baselines and change control.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Predictive forecasts and reference-class planning.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Resources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Assignments are reactive.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Role-based capacity and utilization controls.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Scenario planning and capability-market intelligence.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Finance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Spend tracked after the fact.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Time-phased budget and EAC.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Integrated value, profitability and optimization decisions.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Measurement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Vanity metrics and manual reports.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KPI dictionary, events and dashboard ownership.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Causal testing, predictive insight and governed automation.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Risk and compliance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Late review and undocumented approvals.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Embedded gates and evidence retention.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Risk sensing and policy-as-workflow automation.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Technology</w:t>
            </w:r>
          </w:p>
        </w:tc>
        <w:tc>
          <w:tcPr>
            <w:tcW w:type="dxa" w:w="237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Fragmented tools and duplicate data.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Defined authoritative systems and integrations.</w:t>
            </w:r>
          </w:p>
        </w:tc>
        <w:tc>
          <w:tcPr>
            <w:tcW w:type="dxa" w:w="244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Adaptive architecture with strong data lineage and portability.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Learning</w:t>
            </w:r>
          </w:p>
        </w:tc>
        <w:tc>
          <w:tcPr>
            <w:tcW w:type="dxa" w:w="237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Lessons remain personal.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Post-mortems and improvement log.</w:t>
            </w:r>
          </w:p>
        </w:tc>
        <w:tc>
          <w:tcPr>
            <w:tcW w:type="dxa" w:w="244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Reusable knowledge and continuous process optimization.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13.2 Executive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79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590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252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1</w:t>
            </w:r>
          </w:p>
        </w:tc>
        <w:tc>
          <w:tcPr>
            <w:tcW w:type="dxa" w:w="59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Mandate a standard charter, intake gate and accountable sponsor for material marketing projects.</w:t>
            </w:r>
          </w:p>
        </w:tc>
        <w:tc>
          <w:tcPr>
            <w:tcW w:type="dxa" w:w="252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Reduces low-value work and ambiguity.</w:t>
            </w:r>
          </w:p>
        </w:tc>
      </w:tr>
      <w:tr>
        <w:trPr>
          <w:cantSplit/>
        </w:trPr>
        <w:tc>
          <w:tcPr>
            <w:tcW w:type="dxa" w:w="7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2</w:t>
            </w:r>
          </w:p>
        </w:tc>
        <w:tc>
          <w:tcPr>
            <w:tcW w:type="dxa" w:w="59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Create a governed measurement architecture before expanding dashboards or automation.</w:t>
            </w:r>
          </w:p>
        </w:tc>
        <w:tc>
          <w:tcPr>
            <w:tcW w:type="dxa" w:w="252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Improves trust, attribution discipline and decision quality.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3</w:t>
            </w:r>
          </w:p>
        </w:tc>
        <w:tc>
          <w:tcPr>
            <w:tcW w:type="dxa" w:w="59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Introduce a baseline and formal change-control process with explicit trade-offs.</w:t>
            </w:r>
          </w:p>
        </w:tc>
        <w:tc>
          <w:tcPr>
            <w:tcW w:type="dxa" w:w="252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Protects schedule, budget and quality.</w:t>
            </w:r>
          </w:p>
        </w:tc>
      </w:tr>
      <w:tr>
        <w:trPr>
          <w:cantSplit/>
        </w:trPr>
        <w:tc>
          <w:tcPr>
            <w:tcW w:type="dxa" w:w="7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4</w:t>
            </w:r>
          </w:p>
        </w:tc>
        <w:tc>
          <w:tcPr>
            <w:tcW w:type="dxa" w:w="59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Plan capacity by skill, timing and complexity; limit work-in-progress.</w:t>
            </w:r>
          </w:p>
        </w:tc>
        <w:tc>
          <w:tcPr>
            <w:tcW w:type="dxa" w:w="252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Improves throughput and reduces hidden overload.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5</w:t>
            </w:r>
          </w:p>
        </w:tc>
        <w:tc>
          <w:tcPr>
            <w:tcW w:type="dxa" w:w="59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Embed privacy, disclosures, rights, accessibility and AI review into launch readiness.</w:t>
            </w:r>
          </w:p>
        </w:tc>
        <w:tc>
          <w:tcPr>
            <w:tcW w:type="dxa" w:w="252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Reduces legal, brand and rework risk.</w:t>
            </w:r>
          </w:p>
        </w:tc>
      </w:tr>
      <w:tr>
        <w:trPr>
          <w:cantSplit/>
        </w:trPr>
        <w:tc>
          <w:tcPr>
            <w:tcW w:type="dxa" w:w="7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6</w:t>
            </w:r>
          </w:p>
        </w:tc>
        <w:tc>
          <w:tcPr>
            <w:tcW w:type="dxa" w:w="59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Select tools through a weighted pilot based on the target operating model.</w:t>
            </w:r>
          </w:p>
        </w:tc>
        <w:tc>
          <w:tcPr>
            <w:tcW w:type="dxa" w:w="252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Avoids tool-first transformation and lock-in.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7</w:t>
            </w:r>
          </w:p>
        </w:tc>
        <w:tc>
          <w:tcPr>
            <w:tcW w:type="dxa" w:w="59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Institutionalize post-mortems, estimation actuals and maturity reviews.</w:t>
            </w:r>
          </w:p>
        </w:tc>
        <w:tc>
          <w:tcPr>
            <w:tcW w:type="dxa" w:w="252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Creates compounding operational learning.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014"/>
      </w:tblGrid>
      <w:tr>
        <w:tc>
          <w:tcPr>
            <w:tcW w:type="dxa" w:w="4968"/>
            <w:shd w:fill="6C4CF1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EEEAFE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6C4CF1"/>
                <w:sz w:val="18"/>
              </w:rPr>
              <w:t>FINAL POSITION</w:t>
            </w:r>
          </w:p>
          <w:p>
            <w:pPr>
              <w:spacing w:after="0" w:line="250" w:lineRule="auto"/>
            </w:pPr>
            <w:r>
              <w:rPr>
                <w:rFonts w:ascii="Inter" w:hAnsi="Inter"/>
                <w:color w:val="172033"/>
                <w:sz w:val="19"/>
              </w:rPr>
              <w:t>The attachment is a credible starting point, especially for agency environments, but not a complete governance model. Its lifecycle should be retained and strengthened with portfolio gates, measurement design, formal change control, compliance, AI governance and evidence-based tool selection.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13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Complete the maturity assessment, select the three highest-priority capability gaps and consolidate the charter, controls, KPI architecture, risk pack, operating model and 90-day roadmap into a concise executive proposal.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Why should maturity improvement be sequenced rather than pursued in parallel?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Which capability gaps create the greatest enterprise exposure?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What evidence should leadership require before approving scale-up?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13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Maturity Model, Capstone And Executive Action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