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39058" w14:textId="08183C7C" w:rsidR="004D4A5C" w:rsidRDefault="004D4A5C">
      <w:pPr>
        <w:rPr>
          <w:lang w:val="en-US"/>
        </w:rPr>
      </w:pPr>
    </w:p>
    <w:p w14:paraId="24D5102E" w14:textId="2E6E7461" w:rsidR="000A45A5" w:rsidRPr="000A45A5" w:rsidRDefault="000A45A5">
      <w:pPr>
        <w:rPr>
          <w:b/>
          <w:bCs/>
          <w:lang w:val="en-US"/>
        </w:rPr>
      </w:pPr>
      <w:r w:rsidRPr="000A45A5">
        <w:rPr>
          <w:b/>
          <w:bCs/>
          <w:lang w:val="en-US"/>
        </w:rPr>
        <w:t xml:space="preserve">Solution space </w:t>
      </w:r>
    </w:p>
    <w:p w14:paraId="5E7371CC" w14:textId="0DE180AB" w:rsidR="000A45A5" w:rsidRDefault="000A45A5">
      <w:pPr>
        <w:rPr>
          <w:lang w:val="en-US"/>
        </w:rPr>
      </w:pPr>
    </w:p>
    <w:p w14:paraId="1F11E6A2" w14:textId="7BB8A1B3" w:rsidR="000A45A5" w:rsidRDefault="000A45A5">
      <w:pPr>
        <w:rPr>
          <w:rFonts w:eastAsiaTheme="minorEastAsia"/>
          <w:lang w:val="en-US"/>
        </w:rPr>
      </w:pPr>
      <m:oMath>
        <m:r>
          <w:rPr>
            <w:rFonts w:ascii="Cambria Math" w:hAnsi="Cambria Math"/>
            <w:lang w:val="en-US"/>
          </w:rPr>
          <m:t>(N,</m:t>
        </m:r>
        <m:r>
          <w:rPr>
            <w:rFonts w:ascii="Cambria Math" w:hAnsi="Cambria Math"/>
            <w:lang w:val="en-US"/>
          </w:rPr>
          <m:t>MS,</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m:t>
            </m:r>
          </m:e>
        </m:d>
        <m:r>
          <w:rPr>
            <w:rFonts w:ascii="Cambria Math" w:hAnsi="Cambria Math"/>
            <w:lang w:val="en-US"/>
          </w:rPr>
          <m:t>)</m:t>
        </m:r>
      </m:oMath>
      <w:r>
        <w:rPr>
          <w:rFonts w:eastAsiaTheme="minorEastAsia"/>
          <w:lang w:val="en-US"/>
        </w:rPr>
        <w:t xml:space="preserve"> </w:t>
      </w:r>
    </w:p>
    <w:p w14:paraId="2C150C68" w14:textId="225EF576" w:rsidR="000A45A5" w:rsidRDefault="000A45A5">
      <w:pPr>
        <w:rPr>
          <w:rFonts w:eastAsiaTheme="minorEastAsia"/>
          <w:lang w:val="en-US"/>
        </w:rPr>
      </w:pPr>
      <m:oMath>
        <m:r>
          <w:rPr>
            <w:rFonts w:ascii="Cambria Math" w:hAnsi="Cambria Math"/>
            <w:lang w:val="en-US"/>
          </w:rPr>
          <m:t>N</m:t>
        </m:r>
      </m:oMath>
      <w:r>
        <w:rPr>
          <w:rFonts w:eastAsiaTheme="minorEastAsia"/>
          <w:lang w:val="en-US"/>
        </w:rPr>
        <w:t xml:space="preserve"> denotes the number of clusters </w:t>
      </w:r>
    </w:p>
    <w:p w14:paraId="2FFB861C" w14:textId="426867B0" w:rsidR="00DC5B4D" w:rsidRDefault="00DC5B4D">
      <w:pPr>
        <w:rPr>
          <w:rFonts w:eastAsiaTheme="minorEastAsia"/>
          <w:lang w:val="en-US"/>
        </w:rPr>
      </w:pPr>
      <m:oMath>
        <m:r>
          <w:rPr>
            <w:rFonts w:ascii="Cambria Math" w:hAnsi="Cambria Math"/>
            <w:lang w:val="en-US"/>
          </w:rPr>
          <m:t>MS</m:t>
        </m:r>
      </m:oMath>
      <w:r>
        <w:rPr>
          <w:rFonts w:eastAsiaTheme="minorEastAsia"/>
          <w:lang w:val="en-US"/>
        </w:rPr>
        <w:t xml:space="preserve"> denotes the number of mobile sinks</w:t>
      </w:r>
    </w:p>
    <w:p w14:paraId="05CCE9B7" w14:textId="51E5C28B" w:rsidR="000A45A5" w:rsidRDefault="006F0A8B">
      <w:pP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000A45A5">
        <w:rPr>
          <w:rFonts w:eastAsiaTheme="minorEastAsia"/>
          <w:lang w:val="en-US"/>
        </w:rPr>
        <w:t xml:space="preserve"> denotes the number of RVP for mobile sink </w:t>
      </w:r>
      <m:oMath>
        <m:r>
          <w:rPr>
            <w:rFonts w:ascii="Cambria Math" w:hAnsi="Cambria Math"/>
            <w:lang w:val="en-US"/>
          </w:rPr>
          <m:t>k=1,…MS</m:t>
        </m:r>
      </m:oMath>
    </w:p>
    <w:p w14:paraId="76652735" w14:textId="1F68A326" w:rsidR="000A45A5" w:rsidRDefault="000A45A5">
      <w:pPr>
        <w:rPr>
          <w:rFonts w:eastAsiaTheme="minorEastAsia"/>
          <w:lang w:val="en-US"/>
        </w:rPr>
      </w:pPr>
      <m:oMath>
        <m:r>
          <w:rPr>
            <w:rFonts w:ascii="Cambria Math" w:hAnsi="Cambria Math"/>
            <w:lang w:val="en-US"/>
          </w:rPr>
          <m:t>MS</m:t>
        </m:r>
      </m:oMath>
      <w:r>
        <w:rPr>
          <w:rFonts w:eastAsiaTheme="minorEastAsia"/>
          <w:lang w:val="en-US"/>
        </w:rPr>
        <w:t xml:space="preserve"> denotes the number of mobile </w:t>
      </w:r>
      <w:proofErr w:type="gramStart"/>
      <w:r>
        <w:rPr>
          <w:rFonts w:eastAsiaTheme="minorEastAsia"/>
          <w:lang w:val="en-US"/>
        </w:rPr>
        <w:t>sink</w:t>
      </w:r>
      <w:proofErr w:type="gramEnd"/>
    </w:p>
    <w:p w14:paraId="62D4AC7A" w14:textId="351C4F45" w:rsidR="000A45A5" w:rsidRDefault="000A45A5">
      <w:pPr>
        <w:rPr>
          <w:lang w:val="en-US"/>
        </w:rPr>
      </w:pPr>
    </w:p>
    <w:p w14:paraId="4C6F1FA3" w14:textId="70F4FE6A" w:rsidR="000A45A5" w:rsidRDefault="000A45A5">
      <w:pPr>
        <w:rPr>
          <w:b/>
          <w:bCs/>
          <w:lang w:val="en-US"/>
        </w:rPr>
      </w:pPr>
      <w:r w:rsidRPr="000A45A5">
        <w:rPr>
          <w:b/>
          <w:bCs/>
          <w:lang w:val="en-US"/>
        </w:rPr>
        <w:t xml:space="preserve">Example </w:t>
      </w:r>
    </w:p>
    <w:p w14:paraId="01D111DC" w14:textId="4DC9C492" w:rsidR="000A45A5" w:rsidRDefault="007324DC">
      <w:pPr>
        <w:rPr>
          <w:b/>
          <w:bCs/>
          <w:lang w:val="en-US"/>
        </w:rPr>
      </w:pPr>
      <w:r w:rsidRPr="000A45A5">
        <w:rPr>
          <w:lang w:val="en-US"/>
        </w:rPr>
        <w:t>(4,4,1,7,1,2</w:t>
      </w:r>
      <w:r>
        <w:rPr>
          <w:lang w:val="en-US"/>
        </w:rPr>
        <w:t>,</w:t>
      </w:r>
      <w:r w:rsidRPr="007324DC">
        <w:rPr>
          <w:lang w:val="en-US"/>
        </w:rPr>
        <w:t xml:space="preserve"> </w:t>
      </w:r>
      <w:r w:rsidRPr="000A45A5">
        <w:rPr>
          <w:lang w:val="en-US"/>
        </w:rPr>
        <w:t>3,9,2,8</w:t>
      </w:r>
      <w:r>
        <w:rPr>
          <w:lang w:val="en-US"/>
        </w:rPr>
        <w:t>,</w:t>
      </w:r>
      <w:r w:rsidRPr="007324DC">
        <w:rPr>
          <w:lang w:val="en-US"/>
        </w:rPr>
        <w:t xml:space="preserve"> </w:t>
      </w:r>
      <w:r>
        <w:rPr>
          <w:lang w:val="en-US"/>
        </w:rPr>
        <w:t>9,</w:t>
      </w:r>
      <w:r w:rsidRPr="000A45A5">
        <w:rPr>
          <w:lang w:val="en-US"/>
        </w:rPr>
        <w:t>1,1,2,2,3</w:t>
      </w:r>
      <w:r>
        <w:rPr>
          <w:lang w:val="en-US"/>
        </w:rPr>
        <w:t>)</w:t>
      </w:r>
    </w:p>
    <w:p w14:paraId="2F46C01A" w14:textId="67AFE090" w:rsidR="000A45A5" w:rsidRPr="000A45A5" w:rsidRDefault="000A45A5">
      <w:pPr>
        <w:rPr>
          <w:lang w:val="en-US"/>
        </w:rPr>
      </w:pPr>
      <w:r w:rsidRPr="000A45A5">
        <w:rPr>
          <w:lang w:val="en-US"/>
        </w:rPr>
        <w:t>We have 3 clusters located in (4,4,1,7,1,2)</w:t>
      </w:r>
    </w:p>
    <w:p w14:paraId="71AD2DE6" w14:textId="5984633A" w:rsidR="000A45A5" w:rsidRPr="000A45A5" w:rsidRDefault="000A45A5">
      <w:pPr>
        <w:rPr>
          <w:lang w:val="en-US"/>
        </w:rPr>
      </w:pPr>
      <w:r w:rsidRPr="000A45A5">
        <w:rPr>
          <w:lang w:val="en-US"/>
        </w:rPr>
        <w:t>We have 2 mobile sinks</w:t>
      </w:r>
    </w:p>
    <w:p w14:paraId="56BE96F6" w14:textId="10FCC6FE" w:rsidR="000A45A5" w:rsidRPr="000A45A5" w:rsidRDefault="000A45A5">
      <w:pPr>
        <w:rPr>
          <w:lang w:val="en-US"/>
        </w:rPr>
      </w:pPr>
      <w:r w:rsidRPr="000A45A5">
        <w:rPr>
          <w:lang w:val="en-US"/>
        </w:rPr>
        <w:t>The first mobile sink has 2 RV points (3,9,2,8)</w:t>
      </w:r>
    </w:p>
    <w:p w14:paraId="5F39F49B" w14:textId="425C6051" w:rsidR="000A45A5" w:rsidRPr="000A45A5" w:rsidRDefault="000A45A5">
      <w:pPr>
        <w:rPr>
          <w:lang w:val="en-US"/>
        </w:rPr>
      </w:pPr>
      <w:r w:rsidRPr="000A45A5">
        <w:rPr>
          <w:lang w:val="en-US"/>
        </w:rPr>
        <w:t xml:space="preserve">The second mobile sink </w:t>
      </w:r>
      <w:proofErr w:type="gramStart"/>
      <w:r w:rsidRPr="000A45A5">
        <w:rPr>
          <w:lang w:val="en-US"/>
        </w:rPr>
        <w:t>3  RV</w:t>
      </w:r>
      <w:proofErr w:type="gramEnd"/>
      <w:r w:rsidRPr="000A45A5">
        <w:rPr>
          <w:lang w:val="en-US"/>
        </w:rPr>
        <w:t xml:space="preserve"> points (</w:t>
      </w:r>
      <w:r w:rsidR="007324DC">
        <w:rPr>
          <w:lang w:val="en-US"/>
        </w:rPr>
        <w:t>9,</w:t>
      </w:r>
      <w:r w:rsidRPr="000A45A5">
        <w:rPr>
          <w:lang w:val="en-US"/>
        </w:rPr>
        <w:t>1,1,2,2,3)</w:t>
      </w:r>
    </w:p>
    <w:p w14:paraId="6B1D75ED" w14:textId="6CE7CD3A" w:rsidR="000A45A5" w:rsidRDefault="000A45A5">
      <w:pPr>
        <w:rPr>
          <w:lang w:val="en-US"/>
        </w:rPr>
      </w:pPr>
    </w:p>
    <w:p w14:paraId="13B9270E" w14:textId="3FDB6216" w:rsidR="007324DC" w:rsidRDefault="007324DC">
      <w:pPr>
        <w:rPr>
          <w:lang w:val="en-US"/>
        </w:rPr>
      </w:pPr>
      <w:r>
        <w:rPr>
          <w:lang w:val="en-US"/>
        </w:rPr>
        <w:t xml:space="preserve">This representation implies very </w:t>
      </w:r>
      <w:proofErr w:type="spellStart"/>
      <w:r>
        <w:rPr>
          <w:lang w:val="en-US"/>
        </w:rPr>
        <w:t>very</w:t>
      </w:r>
      <w:proofErr w:type="spellEnd"/>
      <w:r>
        <w:rPr>
          <w:lang w:val="en-US"/>
        </w:rPr>
        <w:t xml:space="preserve"> </w:t>
      </w:r>
      <w:proofErr w:type="spellStart"/>
      <w:r>
        <w:rPr>
          <w:lang w:val="en-US"/>
        </w:rPr>
        <w:t>very</w:t>
      </w:r>
      <w:proofErr w:type="spellEnd"/>
      <w:r>
        <w:rPr>
          <w:lang w:val="en-US"/>
        </w:rPr>
        <w:t xml:space="preserve"> huge solution space </w:t>
      </w:r>
    </w:p>
    <w:p w14:paraId="5E4EB63D" w14:textId="0CB2309C" w:rsidR="007324DC" w:rsidRDefault="007324DC">
      <w:pPr>
        <w:rPr>
          <w:lang w:val="en-US"/>
        </w:rPr>
      </w:pPr>
    </w:p>
    <w:p w14:paraId="2AFF7A1C" w14:textId="177E1220" w:rsidR="007324DC" w:rsidRDefault="007324DC">
      <w:pPr>
        <w:rPr>
          <w:rFonts w:eastAsiaTheme="minorEastAsia"/>
          <w:lang w:val="en-US"/>
        </w:rPr>
      </w:pPr>
      <m:oMath>
        <m:r>
          <w:rPr>
            <w:rFonts w:ascii="Cambria Math" w:hAnsi="Cambria Math"/>
            <w:lang w:val="en-US"/>
          </w:rPr>
          <m:t>2N</m:t>
        </m:r>
      </m:oMath>
      <w:r>
        <w:rPr>
          <w:rFonts w:eastAsiaTheme="minorEastAsia"/>
          <w:lang w:val="en-US"/>
        </w:rPr>
        <w:t>+</w:t>
      </w:r>
      <m:oMath>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MS</m:t>
            </m:r>
          </m:sup>
          <m:e>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m:t>
            </m:r>
          </m:e>
        </m:nary>
      </m:oMath>
    </w:p>
    <w:p w14:paraId="18826EBA" w14:textId="5EDE9EC7" w:rsidR="007324DC" w:rsidRDefault="007324DC">
      <w:pPr>
        <w:rPr>
          <w:rFonts w:eastAsiaTheme="minorEastAsia"/>
          <w:lang w:val="en-US"/>
        </w:rPr>
      </w:pPr>
    </w:p>
    <w:p w14:paraId="1D7E1488" w14:textId="5086E1EA" w:rsidR="007324DC" w:rsidRDefault="007324DC">
      <w:pPr>
        <w:rPr>
          <w:lang w:val="en-US"/>
        </w:rPr>
      </w:pPr>
      <w:r>
        <w:rPr>
          <w:lang w:val="en-US"/>
        </w:rPr>
        <w:t>2*3+(2*2+2*</w:t>
      </w:r>
      <w:proofErr w:type="gramStart"/>
      <w:r>
        <w:rPr>
          <w:lang w:val="en-US"/>
        </w:rPr>
        <w:t>3)=</w:t>
      </w:r>
      <w:proofErr w:type="gramEnd"/>
      <w:r>
        <w:rPr>
          <w:lang w:val="en-US"/>
        </w:rPr>
        <w:t>6+4+6=16</w:t>
      </w:r>
    </w:p>
    <w:p w14:paraId="6195B5C8" w14:textId="476BA973" w:rsidR="007324DC" w:rsidRDefault="007324DC">
      <w:pPr>
        <w:rPr>
          <w:lang w:val="en-US"/>
        </w:rPr>
      </w:pPr>
    </w:p>
    <w:p w14:paraId="08507AEB" w14:textId="1288508E" w:rsidR="007324DC" w:rsidRDefault="007324DC">
      <w:pPr>
        <w:rPr>
          <w:lang w:val="en-US"/>
        </w:rPr>
      </w:pPr>
    </w:p>
    <w:p w14:paraId="1287207F" w14:textId="292FB7A6" w:rsidR="007324DC" w:rsidRDefault="007324DC">
      <w:pPr>
        <w:rPr>
          <w:rFonts w:eastAsiaTheme="minorEastAsia"/>
          <w:lang w:val="en-US"/>
        </w:rPr>
      </w:pPr>
      <w:r>
        <w:rPr>
          <w:lang w:val="en-US"/>
        </w:rPr>
        <w:t xml:space="preserve">This proves that the solution space is </w:t>
      </w:r>
      <m:oMath>
        <m:r>
          <w:rPr>
            <w:rFonts w:ascii="Cambria Math" w:hAnsi="Cambria Math"/>
            <w:lang w:val="en-US"/>
          </w:rPr>
          <m:t>f(N,</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MS</m:t>
            </m:r>
          </m:sub>
        </m:sSub>
        <m:r>
          <w:rPr>
            <w:rFonts w:ascii="Cambria Math" w:hAnsi="Cambria Math"/>
            <w:lang w:val="en-US"/>
          </w:rPr>
          <m:t>)</m:t>
        </m:r>
      </m:oMath>
    </w:p>
    <w:p w14:paraId="26A51946" w14:textId="26C74E39" w:rsidR="002315B7" w:rsidRDefault="002315B7">
      <w:pPr>
        <w:rPr>
          <w:rFonts w:eastAsiaTheme="minorEastAsia"/>
          <w:lang w:val="en-US"/>
        </w:rPr>
      </w:pPr>
    </w:p>
    <w:p w14:paraId="4710B899" w14:textId="6786A1E4" w:rsidR="002315B7" w:rsidRDefault="002315B7">
      <w:pPr>
        <w:rPr>
          <w:rFonts w:eastAsiaTheme="minorEastAsia"/>
          <w:lang w:val="en-US"/>
        </w:rPr>
      </w:pPr>
    </w:p>
    <w:p w14:paraId="701E0D2B" w14:textId="0CBCE234" w:rsidR="000A11BE" w:rsidRDefault="000A11BE">
      <w:pPr>
        <w:rPr>
          <w:rFonts w:eastAsiaTheme="minorEastAsia"/>
          <w:lang w:val="en-US"/>
        </w:rPr>
      </w:pPr>
      <w:r>
        <w:rPr>
          <w:rFonts w:eastAsiaTheme="minorEastAsia"/>
          <w:lang w:val="en-US"/>
        </w:rPr>
        <w:t>Each solution will be evaluated based on the following objective functions:</w:t>
      </w:r>
    </w:p>
    <w:p w14:paraId="453E8A48" w14:textId="0B4BB823" w:rsidR="000A11BE" w:rsidRDefault="000A11BE">
      <w:pPr>
        <w:rPr>
          <w:rFonts w:eastAsiaTheme="minorEastAsia"/>
          <w:lang w:val="en-US"/>
        </w:rPr>
      </w:pPr>
    </w:p>
    <w:p w14:paraId="72E3D13B" w14:textId="65A99FA2" w:rsidR="000A11BE" w:rsidRDefault="000A11BE" w:rsidP="000A11BE">
      <w:pPr>
        <w:pStyle w:val="ListParagraph"/>
        <w:numPr>
          <w:ilvl w:val="0"/>
          <w:numId w:val="1"/>
        </w:numPr>
        <w:rPr>
          <w:lang w:val="en-US"/>
        </w:rPr>
      </w:pPr>
      <w:r>
        <w:rPr>
          <w:lang w:val="en-US"/>
        </w:rPr>
        <w:t xml:space="preserve">Minimization of energy consumption resulted from sending data from nodes to cluster heads </w:t>
      </w:r>
    </w:p>
    <w:p w14:paraId="375DEE8E" w14:textId="2848A2BA" w:rsidR="000A11BE" w:rsidRDefault="000A11BE" w:rsidP="000A11BE">
      <w:pPr>
        <w:pStyle w:val="ListParagraph"/>
        <w:numPr>
          <w:ilvl w:val="0"/>
          <w:numId w:val="1"/>
        </w:numPr>
        <w:rPr>
          <w:lang w:val="en-US"/>
        </w:rPr>
      </w:pPr>
      <w:r>
        <w:rPr>
          <w:lang w:val="en-US"/>
        </w:rPr>
        <w:t xml:space="preserve">Minimization of energy consumption resulted from sending data from cluster head to RV points </w:t>
      </w:r>
    </w:p>
    <w:p w14:paraId="05978853" w14:textId="47D1F85A" w:rsidR="00B84596" w:rsidRDefault="00B84596" w:rsidP="000A11BE">
      <w:pPr>
        <w:pStyle w:val="ListParagraph"/>
        <w:numPr>
          <w:ilvl w:val="0"/>
          <w:numId w:val="1"/>
        </w:numPr>
        <w:rPr>
          <w:lang w:val="en-US"/>
        </w:rPr>
      </w:pPr>
      <w:r>
        <w:rPr>
          <w:lang w:val="en-US"/>
        </w:rPr>
        <w:t xml:space="preserve">Minimization of distribution of energy consumption among the node </w:t>
      </w:r>
    </w:p>
    <w:p w14:paraId="2D8E11EA" w14:textId="0C991ED8" w:rsidR="000A11BE" w:rsidRDefault="000A11BE" w:rsidP="000A11BE">
      <w:pPr>
        <w:pStyle w:val="ListParagraph"/>
        <w:numPr>
          <w:ilvl w:val="0"/>
          <w:numId w:val="1"/>
        </w:numPr>
        <w:rPr>
          <w:lang w:val="en-US"/>
        </w:rPr>
      </w:pPr>
      <w:r>
        <w:rPr>
          <w:lang w:val="en-US"/>
        </w:rPr>
        <w:t>Minimization of traveling time of mobile sink</w:t>
      </w:r>
    </w:p>
    <w:p w14:paraId="6940F9F7" w14:textId="7F5A43C4" w:rsidR="000A11BE" w:rsidRDefault="000A11BE" w:rsidP="000A11BE">
      <w:pPr>
        <w:pStyle w:val="ListParagraph"/>
        <w:numPr>
          <w:ilvl w:val="0"/>
          <w:numId w:val="1"/>
        </w:numPr>
        <w:rPr>
          <w:lang w:val="en-US"/>
        </w:rPr>
      </w:pPr>
      <w:r>
        <w:rPr>
          <w:lang w:val="en-US"/>
        </w:rPr>
        <w:t xml:space="preserve">Minimization of number of mobile </w:t>
      </w:r>
      <w:proofErr w:type="gramStart"/>
      <w:r>
        <w:rPr>
          <w:lang w:val="en-US"/>
        </w:rPr>
        <w:t>sink</w:t>
      </w:r>
      <w:proofErr w:type="gramEnd"/>
      <w:r>
        <w:rPr>
          <w:lang w:val="en-US"/>
        </w:rPr>
        <w:t xml:space="preserve"> </w:t>
      </w:r>
    </w:p>
    <w:p w14:paraId="44E6AEC3" w14:textId="2AFF7572" w:rsidR="000A11BE" w:rsidRDefault="000A11BE" w:rsidP="000A11BE">
      <w:pPr>
        <w:rPr>
          <w:lang w:val="en-US"/>
        </w:rPr>
      </w:pPr>
    </w:p>
    <w:p w14:paraId="25496624" w14:textId="709892E7" w:rsidR="000A11BE" w:rsidRPr="000A11BE" w:rsidRDefault="000A11BE" w:rsidP="000A11BE">
      <w:pPr>
        <w:rPr>
          <w:lang w:val="en-US"/>
        </w:rPr>
      </w:pPr>
      <w:r>
        <w:rPr>
          <w:lang w:val="en-US"/>
        </w:rPr>
        <w:t xml:space="preserve">We assume for each RVP the mobile sink will stop in a time that is </w:t>
      </w:r>
      <w:r w:rsidR="00B84596">
        <w:rPr>
          <w:lang w:val="en-US"/>
        </w:rPr>
        <w:t xml:space="preserve">proportional to the data that will be collected (proportional to the number of nodes associated with the given </w:t>
      </w:r>
      <w:proofErr w:type="gramStart"/>
      <w:r w:rsidR="00B84596">
        <w:rPr>
          <w:lang w:val="en-US"/>
        </w:rPr>
        <w:t>cluster )</w:t>
      </w:r>
      <w:proofErr w:type="gramEnd"/>
    </w:p>
    <w:p w14:paraId="3EC08BFD" w14:textId="7BC7382E" w:rsidR="000A11BE" w:rsidRDefault="000A11BE">
      <w:pPr>
        <w:rPr>
          <w:lang w:val="en-US"/>
        </w:rPr>
      </w:pPr>
    </w:p>
    <w:p w14:paraId="1599CBCF" w14:textId="77777777" w:rsidR="002B0D5B" w:rsidRDefault="002B0D5B" w:rsidP="002B0D5B">
      <w:pPr>
        <w:pStyle w:val="PARAIndent"/>
      </w:pPr>
      <w:r w:rsidRPr="00DA665C">
        <w:t>Energy is consumed at each sensor whenever a data packet is sent or received. The consumed energy is calculated according to number of bits in the packet for transmission and receiving, and to both the number of bits in the packet and the distance between the sender and receiver in the case transmission. We also assume that the sensors can operate in one of two modes, first is the high energy mode for communicating between cluster heads and sinks and the second is low energy mode for communicating within clusters.</w:t>
      </w:r>
    </w:p>
    <w:p w14:paraId="482C7C52" w14:textId="77777777" w:rsidR="002B0D5B" w:rsidRDefault="002B0D5B" w:rsidP="002B0D5B">
      <w:pPr>
        <w:pStyle w:val="PARAIndent"/>
      </w:pPr>
      <w:r w:rsidRPr="00DA665C">
        <w:t>This is according to the radio energy dissipation model presented in Equation (1) and (2) that are given in</w:t>
      </w:r>
      <w:r>
        <w:t xml:space="preserve"> [1]</w:t>
      </w:r>
      <w:r w:rsidRPr="00DA665C">
        <w:t>.</w:t>
      </w:r>
    </w:p>
    <w:p w14:paraId="6DAA3180" w14:textId="77777777" w:rsidR="002B0D5B" w:rsidRDefault="002B0D5B" w:rsidP="002B0D5B">
      <w:pPr>
        <w:pStyle w:val="PARAIndent"/>
      </w:pPr>
      <w:r>
        <w:rPr>
          <w:noProof/>
        </w:rPr>
        <w:lastRenderedPageBreak/>
        <w:drawing>
          <wp:anchor distT="0" distB="0" distL="114300" distR="114300" simplePos="0" relativeHeight="251659264" behindDoc="1" locked="0" layoutInCell="1" allowOverlap="1" wp14:anchorId="51139607" wp14:editId="776F643B">
            <wp:simplePos x="0" y="0"/>
            <wp:positionH relativeFrom="column">
              <wp:posOffset>186055</wp:posOffset>
            </wp:positionH>
            <wp:positionV relativeFrom="paragraph">
              <wp:posOffset>51435</wp:posOffset>
            </wp:positionV>
            <wp:extent cx="2002790" cy="510540"/>
            <wp:effectExtent l="0" t="0" r="0" b="0"/>
            <wp:wrapTight wrapText="bothSides">
              <wp:wrapPolygon edited="0">
                <wp:start x="0" y="0"/>
                <wp:lineTo x="0" y="20955"/>
                <wp:lineTo x="21504" y="20955"/>
                <wp:lineTo x="21504" y="0"/>
                <wp:lineTo x="0" y="0"/>
              </wp:wrapPolygon>
            </wp:wrapTight>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790" cy="51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39E1EE" w14:textId="77777777" w:rsidR="002B0D5B" w:rsidRDefault="002B0D5B" w:rsidP="002B0D5B">
      <w:pPr>
        <w:pStyle w:val="PARAIndent"/>
      </w:pPr>
    </w:p>
    <w:p w14:paraId="089D26A1" w14:textId="77777777" w:rsidR="002B0D5B" w:rsidRDefault="002B0D5B" w:rsidP="002B0D5B">
      <w:pPr>
        <w:pStyle w:val="PARAIndent"/>
      </w:pPr>
      <w:r>
        <w:rPr>
          <w:noProof/>
        </w:rPr>
        <w:drawing>
          <wp:anchor distT="0" distB="0" distL="114300" distR="114300" simplePos="0" relativeHeight="251660288" behindDoc="1" locked="0" layoutInCell="1" allowOverlap="1" wp14:anchorId="07651589" wp14:editId="4BF7E40A">
            <wp:simplePos x="0" y="0"/>
            <wp:positionH relativeFrom="column">
              <wp:posOffset>-2117090</wp:posOffset>
            </wp:positionH>
            <wp:positionV relativeFrom="paragraph">
              <wp:posOffset>199390</wp:posOffset>
            </wp:positionV>
            <wp:extent cx="2358390" cy="641350"/>
            <wp:effectExtent l="0" t="0" r="0" b="0"/>
            <wp:wrapTight wrapText="bothSides">
              <wp:wrapPolygon edited="0">
                <wp:start x="0" y="0"/>
                <wp:lineTo x="0" y="21386"/>
                <wp:lineTo x="21519" y="21386"/>
                <wp:lineTo x="21519" y="0"/>
                <wp:lineTo x="0" y="0"/>
              </wp:wrapPolygon>
            </wp:wrapTight>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839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DFA6B0" w14:textId="77777777" w:rsidR="002B0D5B" w:rsidRDefault="002B0D5B" w:rsidP="002B0D5B">
      <w:pPr>
        <w:pStyle w:val="PARAIndent"/>
        <w:ind w:firstLine="0"/>
      </w:pPr>
      <w:r>
        <w:t xml:space="preserve">                                                                                           </w:t>
      </w:r>
    </w:p>
    <w:p w14:paraId="120A6A42" w14:textId="77777777" w:rsidR="002B0D5B" w:rsidRDefault="002B0D5B" w:rsidP="002B0D5B">
      <w:pPr>
        <w:pStyle w:val="PARAIndent"/>
        <w:ind w:firstLine="0"/>
      </w:pPr>
      <w:r>
        <w:t xml:space="preserve">         (1)</w:t>
      </w:r>
    </w:p>
    <w:p w14:paraId="349B21EC" w14:textId="77777777" w:rsidR="002B0D5B" w:rsidRDefault="002B0D5B" w:rsidP="002B0D5B">
      <w:pPr>
        <w:pStyle w:val="PARAIndent"/>
        <w:ind w:firstLine="0"/>
      </w:pPr>
      <w:r>
        <w:t xml:space="preserve">      </w:t>
      </w:r>
    </w:p>
    <w:p w14:paraId="3E711A33" w14:textId="77777777" w:rsidR="002B0D5B" w:rsidRDefault="002B0D5B" w:rsidP="002B0D5B">
      <w:pPr>
        <w:pStyle w:val="PARAIndent"/>
        <w:ind w:firstLine="0"/>
      </w:pPr>
    </w:p>
    <w:p w14:paraId="1406EA9A" w14:textId="77777777" w:rsidR="002B0D5B" w:rsidRDefault="002B0D5B" w:rsidP="002B0D5B">
      <w:pPr>
        <w:pStyle w:val="PARAIndent"/>
        <w:ind w:firstLine="0"/>
      </w:pPr>
      <w:r w:rsidRPr="001F1E54">
        <w:t>To receive</w:t>
      </w:r>
      <w:r>
        <w:t xml:space="preserve"> </w:t>
      </w:r>
      <w:r w:rsidRPr="001F1E54">
        <w:rPr>
          <w:i/>
        </w:rPr>
        <w:t>k</w:t>
      </w:r>
      <w:r w:rsidRPr="001F1E54">
        <w:t xml:space="preserve"> bits’ message, the energy consumption is:</w:t>
      </w:r>
    </w:p>
    <w:p w14:paraId="6862C1C7" w14:textId="77777777" w:rsidR="002B0D5B" w:rsidRDefault="002B0D5B" w:rsidP="002B0D5B">
      <w:pPr>
        <w:pStyle w:val="PARAIndent"/>
        <w:ind w:firstLine="0"/>
      </w:pPr>
    </w:p>
    <w:p w14:paraId="2FB0D319" w14:textId="77777777" w:rsidR="002B0D5B" w:rsidRPr="001F1E54" w:rsidRDefault="006F0A8B" w:rsidP="002B0D5B">
      <w:pPr>
        <w:pStyle w:val="PARAIndent"/>
        <w:ind w:firstLine="0"/>
      </w:pPr>
      <w:r w:rsidRPr="006F0A8B">
        <w:rPr>
          <w:rFonts w:eastAsia="Yu Mincho" w:cs="Times"/>
          <w:noProof/>
          <w:lang w:val="en-MY"/>
        </w:rPr>
        <w:pict w14:anchorId="7FF42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i1026" type="#_x0000_t75" alt="" style="width:101.25pt;height:11.65pt;mso-width-percent:0;mso-height-percent:0;mso-width-percent:0;mso-height-percent:0" equationxml="&lt;">
            <v:fill o:detectmouseclick="t"/>
            <v:imagedata r:id="rId7" o:title=""/>
            <o:lock v:ext="edit" aspectratio="f"/>
          </v:shape>
        </w:pict>
      </w:r>
      <w:r w:rsidR="002B0D5B" w:rsidRPr="001F1E54">
        <w:rPr>
          <w:rFonts w:eastAsia="Yu Mincho" w:cs="Times"/>
          <w:lang w:val="en-MY"/>
        </w:rPr>
        <w:t>=</w:t>
      </w:r>
      <w:r w:rsidRPr="006F0A8B">
        <w:rPr>
          <w:rFonts w:eastAsia="Yu Mincho" w:cs="Times"/>
          <w:noProof/>
          <w:lang w:val="en-MY"/>
        </w:rPr>
        <w:pict w14:anchorId="490355FE">
          <v:shape id="Picture 75" o:spid="_x0000_i1025" type="#_x0000_t75" alt="" style="width:54.75pt;height:11.65pt;mso-width-percent:0;mso-height-percent:0;mso-width-percent:0;mso-height-percent:0" equationxml="&lt;">
            <v:fill o:detectmouseclick="t"/>
            <v:imagedata r:id="rId8" o:title=""/>
            <o:lock v:ext="edit" aspectratio="f"/>
          </v:shape>
        </w:pict>
      </w:r>
      <w:r w:rsidR="002B0D5B" w:rsidRPr="001F1E54">
        <w:rPr>
          <w:rFonts w:eastAsia="Yu Mincho" w:cs="Times"/>
          <w:lang w:val="en-MY"/>
        </w:rPr>
        <w:t xml:space="preserve">    </w:t>
      </w:r>
      <w:r w:rsidR="002B0D5B">
        <w:t xml:space="preserve">                 </w:t>
      </w:r>
      <w:r w:rsidR="002B0D5B">
        <w:rPr>
          <w:rFonts w:eastAsia="Yu Mincho" w:cs="Times"/>
          <w:lang w:val="en-MY"/>
        </w:rPr>
        <w:t xml:space="preserve">       </w:t>
      </w:r>
      <w:r w:rsidR="002B0D5B" w:rsidRPr="001F1E54">
        <w:rPr>
          <w:rFonts w:eastAsia="Yu Mincho" w:cs="Times"/>
          <w:lang w:val="en-MY"/>
        </w:rPr>
        <w:t>(2)</w:t>
      </w:r>
    </w:p>
    <w:p w14:paraId="2D9F3DD3" w14:textId="77777777" w:rsidR="002B0D5B" w:rsidRDefault="002B0D5B" w:rsidP="002B0D5B">
      <w:pPr>
        <w:pStyle w:val="PARAIndent"/>
      </w:pPr>
    </w:p>
    <w:p w14:paraId="24C343A9" w14:textId="7207631D" w:rsidR="000A11BE" w:rsidRDefault="000A11BE">
      <w:pPr>
        <w:rPr>
          <w:lang w:val="en-US"/>
        </w:rPr>
      </w:pPr>
    </w:p>
    <w:p w14:paraId="20723CA2" w14:textId="77777777" w:rsidR="000A11BE" w:rsidRDefault="000A11BE">
      <w:pPr>
        <w:rPr>
          <w:lang w:val="en-US"/>
        </w:rPr>
      </w:pPr>
    </w:p>
    <w:p w14:paraId="5ABD3C07" w14:textId="77777777" w:rsidR="000342C7" w:rsidRDefault="000342C7">
      <w:pPr>
        <w:rPr>
          <w:lang w:val="en-US"/>
        </w:rPr>
      </w:pPr>
    </w:p>
    <w:p w14:paraId="58A1592A" w14:textId="40E68CE7" w:rsidR="007324DC" w:rsidRDefault="007324DC">
      <w:pPr>
        <w:rPr>
          <w:lang w:val="en-US"/>
        </w:rPr>
      </w:pPr>
    </w:p>
    <w:p w14:paraId="67B8624A" w14:textId="279FB210" w:rsidR="007324DC" w:rsidRDefault="007324DC">
      <w:pPr>
        <w:rPr>
          <w:lang w:val="en-US"/>
        </w:rPr>
      </w:pPr>
    </w:p>
    <w:p w14:paraId="347EC8FC" w14:textId="7EF135B9" w:rsidR="007324DC" w:rsidRDefault="007324DC">
      <w:pPr>
        <w:rPr>
          <w:lang w:val="en-US"/>
        </w:rPr>
      </w:pPr>
    </w:p>
    <w:p w14:paraId="06A6F3AB" w14:textId="57863C8B" w:rsidR="007324DC" w:rsidRDefault="007324DC">
      <w:pPr>
        <w:rPr>
          <w:lang w:val="en-US"/>
        </w:rPr>
      </w:pPr>
    </w:p>
    <w:p w14:paraId="53CD826D" w14:textId="0E1178F3" w:rsidR="002B0D5B" w:rsidRDefault="002B0D5B">
      <w:pPr>
        <w:rPr>
          <w:lang w:val="en-US"/>
        </w:rPr>
      </w:pPr>
    </w:p>
    <w:p w14:paraId="4F59C497" w14:textId="05B8A1B6" w:rsidR="002B0D5B" w:rsidRPr="000A45A5" w:rsidRDefault="002B0D5B">
      <w:pPr>
        <w:rPr>
          <w:lang w:val="en-US"/>
        </w:rPr>
      </w:pPr>
      <w:r>
        <w:rPr>
          <w:lang w:val="en-US"/>
        </w:rPr>
        <w:t xml:space="preserve">Tightly coupled </w:t>
      </w:r>
    </w:p>
    <w:sectPr w:rsidR="002B0D5B" w:rsidRPr="000A45A5" w:rsidSect="00396E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93416C"/>
    <w:multiLevelType w:val="hybridMultilevel"/>
    <w:tmpl w:val="03A66C86"/>
    <w:lvl w:ilvl="0" w:tplc="BC7462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A5"/>
    <w:rsid w:val="00031747"/>
    <w:rsid w:val="000342C7"/>
    <w:rsid w:val="00055199"/>
    <w:rsid w:val="000A11BE"/>
    <w:rsid w:val="000A45A5"/>
    <w:rsid w:val="00134B3F"/>
    <w:rsid w:val="0014554B"/>
    <w:rsid w:val="00157ED9"/>
    <w:rsid w:val="002315B7"/>
    <w:rsid w:val="00262279"/>
    <w:rsid w:val="002B0D5B"/>
    <w:rsid w:val="00396E26"/>
    <w:rsid w:val="004D4A5C"/>
    <w:rsid w:val="004E36B0"/>
    <w:rsid w:val="006F0A8B"/>
    <w:rsid w:val="007324DC"/>
    <w:rsid w:val="007A0546"/>
    <w:rsid w:val="00821FBC"/>
    <w:rsid w:val="00835701"/>
    <w:rsid w:val="00887A37"/>
    <w:rsid w:val="00973E24"/>
    <w:rsid w:val="00B84596"/>
    <w:rsid w:val="00C56DC5"/>
    <w:rsid w:val="00CC7A5F"/>
    <w:rsid w:val="00DC5B4D"/>
    <w:rsid w:val="00DE10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1975"/>
  <w15:chartTrackingRefBased/>
  <w15:docId w15:val="{2EE7DBB8-193D-B444-BAC1-2D1D6AA3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45A5"/>
    <w:rPr>
      <w:color w:val="808080"/>
    </w:rPr>
  </w:style>
  <w:style w:type="paragraph" w:styleId="ListParagraph">
    <w:name w:val="List Paragraph"/>
    <w:basedOn w:val="Normal"/>
    <w:uiPriority w:val="34"/>
    <w:qFormat/>
    <w:rsid w:val="000A11BE"/>
    <w:pPr>
      <w:ind w:left="720"/>
      <w:contextualSpacing/>
    </w:pPr>
  </w:style>
  <w:style w:type="paragraph" w:customStyle="1" w:styleId="PARAIndent">
    <w:name w:val="PARA_Indent"/>
    <w:basedOn w:val="Normal"/>
    <w:link w:val="PARAIndentChar"/>
    <w:rsid w:val="002B0D5B"/>
    <w:pPr>
      <w:widowControl w:val="0"/>
      <w:ind w:firstLine="202"/>
      <w:jc w:val="both"/>
    </w:pPr>
    <w:rPr>
      <w:rFonts w:ascii="Times" w:eastAsia="Times New Roman" w:hAnsi="Times" w:cs="Times New Roman"/>
      <w:sz w:val="20"/>
      <w:szCs w:val="20"/>
      <w:lang w:val="en-US"/>
    </w:rPr>
  </w:style>
  <w:style w:type="character" w:customStyle="1" w:styleId="PARAIndentChar">
    <w:name w:val="PARA_Indent Char"/>
    <w:link w:val="PARAIndent"/>
    <w:rsid w:val="002B0D5B"/>
    <w:rPr>
      <w:rFonts w:ascii="Times" w:eastAsia="Times New Roman"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2020-09-12T03:39:00Z</dcterms:created>
  <dcterms:modified xsi:type="dcterms:W3CDTF">2020-09-13T14:44:00Z</dcterms:modified>
</cp:coreProperties>
</file>