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0B2545"/>
          <w:sz w:val="48"/>
        </w:rPr>
        <w:t>Hospital Bed Occupancy Missing-Data Repair</w:t>
      </w:r>
    </w:p>
    <w:p>
      <w:pPr>
        <w:spacing w:after="360"/>
        <w:jc w:val="center"/>
      </w:pPr>
      <w:r>
        <w:rPr>
          <w:rFonts w:ascii="Calibri" w:hAnsi="Calibri"/>
          <w:b w:val="0"/>
          <w:i w:val="0"/>
          <w:color w:val="5D6D7E"/>
          <w:sz w:val="24"/>
        </w:rPr>
        <w:t>Advanced Imputation Benchmark and Occupancy Risk Modeling</w:t>
      </w:r>
    </w:p>
    <w:p>
      <w:pPr>
        <w:pStyle w:val="Heading1"/>
      </w:pPr>
      <w:r>
        <w:t>Executive summary</w:t>
      </w:r>
    </w:p>
    <w:p>
      <w:pPr>
        <w:spacing w:after="140"/>
      </w:pPr>
      <w:r>
        <w:t>A synthetic 17,520-record hospital census was used to test 12 missing-data repair approaches across MCAR, MAR, and MNAR patterns. The system evaluates reconstruction fidelity, distribution drift, execution time, and downstream high-occupancy classification performance, then selects a strategy per feature.</w:t>
      </w:r>
    </w:p>
    <w:tbl>
      <w:tblPr>
        <w:tblStyle w:val="LightShading-Accent1"/>
        <w:tblW w:type="auto" w:w="0"/>
        <w:tblLook w:firstColumn="1" w:firstRow="1" w:lastColumn="0" w:lastRow="0" w:noHBand="0" w:noVBand="1" w:val="04A0"/>
      </w:tblPr>
      <w:tblGrid>
        <w:gridCol w:w="2412"/>
        <w:gridCol w:w="2412"/>
        <w:gridCol w:w="2412"/>
        <w:gridCol w:w="2412"/>
      </w:tblGrid>
      <w:tr>
        <w:tc>
          <w:tcPr>
            <w:tcW w:type="dxa" w:w="2412"/>
            <w:shd w:fill="D9EAF7"/>
          </w:tcPr>
          <w:p>
            <w:r>
              <w:rPr>
                <w:rFonts w:ascii="Calibri" w:hAnsi="Calibri"/>
                <w:b/>
                <w:i w:val="0"/>
                <w:color w:val="0B2545"/>
                <w:sz w:val="18"/>
              </w:rPr>
              <w:t>Records</w:t>
            </w:r>
          </w:p>
        </w:tc>
        <w:tc>
          <w:tcPr>
            <w:tcW w:type="dxa" w:w="2412"/>
            <w:shd w:fill="D9EAF7"/>
          </w:tcPr>
          <w:p>
            <w:r>
              <w:rPr>
                <w:rFonts w:ascii="Calibri" w:hAnsi="Calibri"/>
                <w:b/>
                <w:i w:val="0"/>
                <w:color w:val="0B2545"/>
                <w:sz w:val="18"/>
              </w:rPr>
              <w:t>Methods</w:t>
            </w:r>
          </w:p>
        </w:tc>
        <w:tc>
          <w:tcPr>
            <w:tcW w:type="dxa" w:w="2412"/>
            <w:shd w:fill="D9EAF7"/>
          </w:tcPr>
          <w:p>
            <w:r>
              <w:rPr>
                <w:rFonts w:ascii="Calibri" w:hAnsi="Calibri"/>
                <w:b/>
                <w:i w:val="0"/>
                <w:color w:val="0B2545"/>
                <w:sz w:val="18"/>
              </w:rPr>
              <w:t>Selected model</w:t>
            </w:r>
          </w:p>
        </w:tc>
        <w:tc>
          <w:tcPr>
            <w:tcW w:type="dxa" w:w="2412"/>
            <w:shd w:fill="D9EAF7"/>
          </w:tcPr>
          <w:p>
            <w:r>
              <w:rPr>
                <w:rFonts w:ascii="Calibri" w:hAnsi="Calibri"/>
                <w:b/>
                <w:i w:val="0"/>
                <w:color w:val="0B2545"/>
                <w:sz w:val="18"/>
              </w:rPr>
              <w:t>Holdout macro F1</w:t>
            </w:r>
          </w:p>
        </w:tc>
      </w:tr>
      <w:tr>
        <w:tc>
          <w:tcPr>
            <w:tcW w:type="dxa" w:w="2412"/>
          </w:tcPr>
          <w:p>
            <w:r>
              <w:rPr>
                <w:rFonts w:ascii="Calibri" w:hAnsi="Calibri"/>
                <w:b/>
                <w:i w:val="0"/>
                <w:color w:val="17202A"/>
                <w:sz w:val="20"/>
              </w:rPr>
              <w:t>17520</w:t>
            </w:r>
          </w:p>
        </w:tc>
        <w:tc>
          <w:tcPr>
            <w:tcW w:type="dxa" w:w="2412"/>
          </w:tcPr>
          <w:p>
            <w:r>
              <w:rPr>
                <w:rFonts w:ascii="Calibri" w:hAnsi="Calibri"/>
                <w:b/>
                <w:i w:val="0"/>
                <w:color w:val="17202A"/>
                <w:sz w:val="20"/>
              </w:rPr>
              <w:t>12</w:t>
            </w:r>
          </w:p>
        </w:tc>
        <w:tc>
          <w:tcPr>
            <w:tcW w:type="dxa" w:w="2412"/>
          </w:tcPr>
          <w:p>
            <w:r>
              <w:rPr>
                <w:rFonts w:ascii="Calibri" w:hAnsi="Calibri"/>
                <w:b/>
                <w:i w:val="0"/>
                <w:color w:val="17202A"/>
                <w:sz w:val="20"/>
              </w:rPr>
              <w:t>Decision Tree</w:t>
            </w:r>
          </w:p>
        </w:tc>
        <w:tc>
          <w:tcPr>
            <w:tcW w:type="dxa" w:w="2412"/>
          </w:tcPr>
          <w:p>
            <w:r>
              <w:rPr>
                <w:rFonts w:ascii="Calibri" w:hAnsi="Calibri"/>
                <w:b/>
                <w:i w:val="0"/>
                <w:color w:val="17202A"/>
                <w:sz w:val="20"/>
              </w:rPr>
              <w:t>1.000</w:t>
            </w:r>
          </w:p>
        </w:tc>
      </w:tr>
    </w:tbl>
    <w:p>
      <w:pPr>
        <w:pStyle w:val="Heading1"/>
      </w:pPr>
      <w:r>
        <w:t>Problem Statement</w:t>
      </w:r>
    </w:p>
    <w:p>
      <w:pPr>
        <w:spacing w:after="140"/>
      </w:pPr>
      <w:r>
        <w:t>Hospital operations data often has incomplete staffing, admissions, weather, and length-of-stay fields. Replacing all gaps with one generic statistic can hide meaningful operational signals and lead to unreliable bed-capacity decisions.</w:t>
      </w:r>
    </w:p>
    <w:p>
      <w:pPr>
        <w:pStyle w:val="Heading1"/>
      </w:pPr>
      <w:r>
        <w:t>Objectives</w:t>
      </w:r>
    </w:p>
    <w:p>
      <w:pPr>
        <w:spacing w:after="140"/>
      </w:pPr>
      <w:r>
        <w:t>Compare multiple imputation strategies; choose the most suitable method per feature; quantify downstream model impact; and provide a deployable GUI for repair, inspection, training, prediction, and export.</w:t>
      </w:r>
    </w:p>
    <w:p>
      <w:pPr>
        <w:pStyle w:val="Heading1"/>
      </w:pPr>
      <w:r>
        <w:t>Dataset and Missingness Design</w:t>
      </w:r>
    </w:p>
    <w:p>
      <w:pPr>
        <w:spacing w:after="140"/>
      </w:pPr>
      <w:r>
        <w:t>The project uses daily departmental census records from 16 synthetic hospitals across 365 days. MCAR gaps are applied randomly; MAR gaps depend on observed department, city, or weather; MNAR gaps are concentrated in high staffing and high COVID census values. The target occupancy rate is intentionally never masked.</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missing_value_heatmap.png"/>
                    <pic:cNvPicPr/>
                  </pic:nvPicPr>
                  <pic:blipFill>
                    <a:blip r:embed="rId11"/>
                    <a:stretch>
                      <a:fillRect/>
                    </a:stretch>
                  </pic:blipFill>
                  <pic:spPr>
                    <a:xfrm>
                      <a:off x="0" y="0"/>
                      <a:ext cx="5669280" cy="3401568"/>
                    </a:xfrm>
                    <a:prstGeom prst="rect"/>
                  </pic:spPr>
                </pic:pic>
              </a:graphicData>
            </a:graphic>
          </wp:inline>
        </w:drawing>
      </w:r>
    </w:p>
    <w:p>
      <w:pPr>
        <w:jc w:val="center"/>
      </w:pPr>
      <w:r>
        <w:rPr>
          <w:rFonts w:ascii="Calibri" w:hAnsi="Calibri"/>
          <w:b w:val="0"/>
          <w:i/>
          <w:color w:val="566573"/>
          <w:sz w:val="17"/>
        </w:rPr>
        <w:t>Figure 1. Missingness pattern sample</w:t>
      </w:r>
    </w:p>
    <w:p>
      <w:pPr>
        <w:pStyle w:val="Heading1"/>
      </w:pPr>
      <w:r>
        <w:t>Data Preparation and Feature Engineering</w:t>
      </w:r>
    </w:p>
    <w:p>
      <w:pPr>
        <w:spacing w:after="140"/>
      </w:pPr>
      <w:r>
        <w:t>The workflow removes duplicates, converts types, visualizes missingness, flags anomalies through IQR and Isolation Forest, imputes selected fields, normalizes exported features, and creates capacity, staffing, calendar, interaction, polynomial, lag, rolling mean, rolling median, and moving-average variables. Temporal features only use prior observations.</w:t>
      </w:r>
    </w:p>
    <w:p>
      <w:pPr>
        <w:jc w:val="center"/>
      </w:pPr>
      <w:r>
        <w:drawing>
          <wp:inline xmlns:a="http://schemas.openxmlformats.org/drawingml/2006/main" xmlns:pic="http://schemas.openxmlformats.org/drawingml/2006/picture">
            <wp:extent cx="5669280" cy="1667435"/>
            <wp:docPr id="2" name="Picture 2"/>
            <wp:cNvGraphicFramePr>
              <a:graphicFrameLocks noChangeAspect="1"/>
            </wp:cNvGraphicFramePr>
            <a:graphic>
              <a:graphicData uri="http://schemas.openxmlformats.org/drawingml/2006/picture">
                <pic:pic>
                  <pic:nvPicPr>
                    <pic:cNvPr id="0" name="monthly_seasonal_holiday_trends.png"/>
                    <pic:cNvPicPr/>
                  </pic:nvPicPr>
                  <pic:blipFill>
                    <a:blip r:embed="rId12"/>
                    <a:stretch>
                      <a:fillRect/>
                    </a:stretch>
                  </pic:blipFill>
                  <pic:spPr>
                    <a:xfrm>
                      <a:off x="0" y="0"/>
                      <a:ext cx="5669280" cy="1667435"/>
                    </a:xfrm>
                    <a:prstGeom prst="rect"/>
                  </pic:spPr>
                </pic:pic>
              </a:graphicData>
            </a:graphic>
          </wp:inline>
        </w:drawing>
      </w:r>
    </w:p>
    <w:p>
      <w:pPr>
        <w:jc w:val="center"/>
      </w:pPr>
      <w:r>
        <w:rPr>
          <w:rFonts w:ascii="Calibri" w:hAnsi="Calibri"/>
          <w:b w:val="0"/>
          <w:i/>
          <w:color w:val="566573"/>
          <w:sz w:val="17"/>
        </w:rPr>
        <w:t>Figure 2. Capacity and seasonal occupancy trends</w:t>
      </w:r>
    </w:p>
    <w:p>
      <w:pPr>
        <w:pStyle w:val="Heading1"/>
      </w:pPr>
      <w:r>
        <w:t>Imputation Comparison</w:t>
      </w:r>
    </w:p>
    <w:p>
      <w:pPr>
        <w:spacing w:after="140"/>
      </w:pPr>
      <w:r>
        <w:t>The benchmark evaluates Mean, Median, Mode, Forward Fill, Backward Fill, Linear, Polynomial, and Spline interpolation, KNN, MICE, Regression, and Random Forest imputation. The overall top method by mean reconstruction RMSE was Iterative Imputer (MICE); final selection remains feature-specific rather than global.</w:t>
      </w:r>
    </w:p>
    <w:p>
      <w:pPr>
        <w:pStyle w:val="Heading1"/>
      </w:pPr>
      <w:r>
        <w:t>Model Performance</w:t>
      </w:r>
    </w:p>
    <w:p>
      <w:pPr>
        <w:spacing w:after="140"/>
      </w:pPr>
      <w:r>
        <w:t>Decision Tree was selected using macro-F1 cross-validation on the training period and evaluated on a held-out future period. Holdout accuracy was 1.000; macro F1 was 1.000. The model predicts Low, Moderate, and High occupancy risk classes.</w:t>
      </w:r>
    </w:p>
    <w:p>
      <w:pPr>
        <w:jc w:val="center"/>
      </w:pPr>
      <w:r>
        <w:drawing>
          <wp:inline xmlns:a="http://schemas.openxmlformats.org/drawingml/2006/main" xmlns:pic="http://schemas.openxmlformats.org/drawingml/2006/picture">
            <wp:extent cx="5669280" cy="4859383"/>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669280" cy="4859383"/>
                    </a:xfrm>
                    <a:prstGeom prst="rect"/>
                  </pic:spPr>
                </pic:pic>
              </a:graphicData>
            </a:graphic>
          </wp:inline>
        </w:drawing>
      </w:r>
    </w:p>
    <w:p>
      <w:pPr>
        <w:jc w:val="center"/>
      </w:pPr>
      <w:r>
        <w:rPr>
          <w:rFonts w:ascii="Calibri" w:hAnsi="Calibri"/>
          <w:b w:val="0"/>
          <w:i/>
          <w:color w:val="566573"/>
          <w:sz w:val="17"/>
        </w:rPr>
        <w:t>Figure 3. Holdout classification performance</w:t>
      </w:r>
    </w:p>
    <w:p>
      <w:pPr>
        <w:pStyle w:val="Heading1"/>
      </w:pPr>
      <w:r>
        <w:t>Business Insights</w:t>
      </w:r>
    </w:p>
    <w:p>
      <w:pPr>
        <w:spacing w:after="140"/>
      </w:pPr>
      <w:r>
        <w:t>Occupancy planning is most sensitive to admissions flow, staffing intensity, emergency load, seasonal patterns, and lagged demand. The feature-specific repair policy preserves these relationships more faithfully than a single default imputer, supporting staffing and bed-allocation decisions.</w:t>
      </w:r>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permutation_importance.png"/>
                    <pic:cNvPicPr/>
                  </pic:nvPicPr>
                  <pic:blipFill>
                    <a:blip r:embed="rId14"/>
                    <a:stretch>
                      <a:fillRect/>
                    </a:stretch>
                  </pic:blipFill>
                  <pic:spPr>
                    <a:xfrm>
                      <a:off x="0" y="0"/>
                      <a:ext cx="5669280" cy="3779520"/>
                    </a:xfrm>
                    <a:prstGeom prst="rect"/>
                  </pic:spPr>
                </pic:pic>
              </a:graphicData>
            </a:graphic>
          </wp:inline>
        </w:drawing>
      </w:r>
    </w:p>
    <w:p>
      <w:pPr>
        <w:jc w:val="center"/>
      </w:pPr>
      <w:r>
        <w:rPr>
          <w:rFonts w:ascii="Calibri" w:hAnsi="Calibri"/>
          <w:b w:val="0"/>
          <w:i/>
          <w:color w:val="566573"/>
          <w:sz w:val="17"/>
        </w:rPr>
        <w:t>Figure 4. Feature importance for operational planning</w:t>
      </w:r>
    </w:p>
    <w:p>
      <w:pPr>
        <w:pStyle w:val="Heading1"/>
      </w:pPr>
      <w:r>
        <w:t>Limitations and Future Work</w:t>
      </w:r>
    </w:p>
    <w:p>
      <w:pPr>
        <w:spacing w:after="140"/>
      </w:pPr>
      <w:r>
        <w:t>The data is synthetic and cannot establish clinical causality. Future work should validate against governed real-world data, calibrate thresholds to local policy, use prospective monitoring for drift, add LightGBM/CatBoost where approved, and expose formal audit logging for production deployment.</w:t>
      </w:r>
    </w:p>
    <w:p>
      <w:pPr>
        <w:pStyle w:val="Heading1"/>
      </w:pPr>
      <w:r>
        <w:t>Selected Imputation Strategies</w:t>
      </w:r>
    </w:p>
    <w:tbl>
      <w:tblPr>
        <w:tblStyle w:val="LightShading-Accent1"/>
        <w:tblW w:type="auto" w:w="0"/>
        <w:tblLook w:firstColumn="1" w:firstRow="1" w:lastColumn="0" w:lastRow="0" w:noHBand="0" w:noVBand="1" w:val="04A0"/>
      </w:tblPr>
      <w:tblGrid>
        <w:gridCol w:w="3216"/>
        <w:gridCol w:w="3216"/>
        <w:gridCol w:w="3216"/>
      </w:tblGrid>
      <w:tr>
        <w:tc>
          <w:tcPr>
            <w:tcW w:type="dxa" w:w="3216"/>
            <w:shd w:fill="D9EAF7"/>
          </w:tcPr>
          <w:p>
            <w:r>
              <w:rPr>
                <w:rFonts w:ascii="Calibri" w:hAnsi="Calibri"/>
                <w:b/>
                <w:i w:val="0"/>
                <w:color w:val="0B2545"/>
                <w:sz w:val="18"/>
              </w:rPr>
              <w:t>Feature</w:t>
            </w:r>
          </w:p>
        </w:tc>
        <w:tc>
          <w:tcPr>
            <w:tcW w:type="dxa" w:w="3216"/>
            <w:shd w:fill="D9EAF7"/>
          </w:tcPr>
          <w:p>
            <w:r>
              <w:rPr>
                <w:rFonts w:ascii="Calibri" w:hAnsi="Calibri"/>
                <w:b/>
                <w:i w:val="0"/>
                <w:color w:val="0B2545"/>
                <w:sz w:val="18"/>
              </w:rPr>
              <w:t>Recommended method</w:t>
            </w:r>
          </w:p>
        </w:tc>
        <w:tc>
          <w:tcPr>
            <w:tcW w:type="dxa" w:w="3216"/>
            <w:shd w:fill="D9EAF7"/>
          </w:tcPr>
          <w:p>
            <w:r>
              <w:rPr>
                <w:rFonts w:ascii="Calibri" w:hAnsi="Calibri"/>
                <w:b/>
                <w:i w:val="0"/>
                <w:color w:val="0B2545"/>
                <w:sz w:val="18"/>
              </w:rPr>
              <w:t>Benchmark RMSE</w:t>
            </w:r>
          </w:p>
        </w:tc>
      </w:tr>
      <w:tr>
        <w:tc>
          <w:tcPr>
            <w:tcW w:type="dxa" w:w="3216"/>
          </w:tcPr>
          <w:p>
            <w:r>
              <w:rPr>
                <w:rFonts w:ascii="Calibri" w:hAnsi="Calibri"/>
                <w:b w:val="0"/>
                <w:i w:val="0"/>
                <w:color w:val="17202A"/>
                <w:sz w:val="18"/>
              </w:rPr>
              <w:t>Admissions</w:t>
            </w:r>
          </w:p>
        </w:tc>
        <w:tc>
          <w:tcPr>
            <w:tcW w:type="dxa" w:w="3216"/>
          </w:tcPr>
          <w:p>
            <w:r>
              <w:rPr>
                <w:rFonts w:ascii="Calibri" w:hAnsi="Calibri"/>
                <w:b w:val="0"/>
                <w:i w:val="0"/>
                <w:color w:val="17202A"/>
                <w:sz w:val="18"/>
              </w:rPr>
              <w:t>Iterative Imputer (MICE)</w:t>
            </w:r>
          </w:p>
        </w:tc>
        <w:tc>
          <w:tcPr>
            <w:tcW w:type="dxa" w:w="3216"/>
          </w:tcPr>
          <w:p>
            <w:r>
              <w:rPr>
                <w:rFonts w:ascii="Calibri" w:hAnsi="Calibri"/>
                <w:b w:val="0"/>
                <w:i w:val="0"/>
                <w:color w:val="17202A"/>
                <w:sz w:val="18"/>
              </w:rPr>
              <w:t>5.525</w:t>
            </w:r>
          </w:p>
        </w:tc>
      </w:tr>
      <w:tr>
        <w:tc>
          <w:tcPr>
            <w:tcW w:type="dxa" w:w="3216"/>
          </w:tcPr>
          <w:p>
            <w:r>
              <w:rPr>
                <w:rFonts w:ascii="Calibri" w:hAnsi="Calibri"/>
                <w:b w:val="0"/>
                <w:i w:val="0"/>
                <w:color w:val="17202A"/>
                <w:sz w:val="18"/>
              </w:rPr>
              <w:t>Available_Beds</w:t>
            </w:r>
          </w:p>
        </w:tc>
        <w:tc>
          <w:tcPr>
            <w:tcW w:type="dxa" w:w="3216"/>
          </w:tcPr>
          <w:p>
            <w:r>
              <w:rPr>
                <w:rFonts w:ascii="Calibri" w:hAnsi="Calibri"/>
                <w:b w:val="0"/>
                <w:i w:val="0"/>
                <w:color w:val="17202A"/>
                <w:sz w:val="18"/>
              </w:rPr>
              <w:t>Iterative Imputer (MICE)</w:t>
            </w:r>
          </w:p>
        </w:tc>
        <w:tc>
          <w:tcPr>
            <w:tcW w:type="dxa" w:w="3216"/>
          </w:tcPr>
          <w:p>
            <w:r>
              <w:rPr>
                <w:rFonts w:ascii="Calibri" w:hAnsi="Calibri"/>
                <w:b w:val="0"/>
                <w:i w:val="0"/>
                <w:color w:val="17202A"/>
                <w:sz w:val="18"/>
              </w:rPr>
              <w:t>8.851</w:t>
            </w:r>
          </w:p>
        </w:tc>
      </w:tr>
      <w:tr>
        <w:tc>
          <w:tcPr>
            <w:tcW w:type="dxa" w:w="3216"/>
          </w:tcPr>
          <w:p>
            <w:r>
              <w:rPr>
                <w:rFonts w:ascii="Calibri" w:hAnsi="Calibri"/>
                <w:b w:val="0"/>
                <w:i w:val="0"/>
                <w:color w:val="17202A"/>
                <w:sz w:val="18"/>
              </w:rPr>
              <w:t>Average_Length_of_Stay</w:t>
            </w:r>
          </w:p>
        </w:tc>
        <w:tc>
          <w:tcPr>
            <w:tcW w:type="dxa" w:w="3216"/>
          </w:tcPr>
          <w:p>
            <w:r>
              <w:rPr>
                <w:rFonts w:ascii="Calibri" w:hAnsi="Calibri"/>
                <w:b w:val="0"/>
                <w:i w:val="0"/>
                <w:color w:val="17202A"/>
                <w:sz w:val="18"/>
              </w:rPr>
              <w:t>Median</w:t>
            </w:r>
          </w:p>
        </w:tc>
        <w:tc>
          <w:tcPr>
            <w:tcW w:type="dxa" w:w="3216"/>
          </w:tcPr>
          <w:p>
            <w:r>
              <w:rPr>
                <w:rFonts w:ascii="Calibri" w:hAnsi="Calibri"/>
                <w:b w:val="0"/>
                <w:i w:val="0"/>
                <w:color w:val="17202A"/>
                <w:sz w:val="18"/>
              </w:rPr>
              <w:t>1.104</w:t>
            </w:r>
          </w:p>
        </w:tc>
      </w:tr>
      <w:tr>
        <w:tc>
          <w:tcPr>
            <w:tcW w:type="dxa" w:w="3216"/>
          </w:tcPr>
          <w:p>
            <w:r>
              <w:rPr>
                <w:rFonts w:ascii="Calibri" w:hAnsi="Calibri"/>
                <w:b w:val="0"/>
                <w:i w:val="0"/>
                <w:color w:val="17202A"/>
                <w:sz w:val="18"/>
              </w:rPr>
              <w:t>Covid_Cases</w:t>
            </w:r>
          </w:p>
        </w:tc>
        <w:tc>
          <w:tcPr>
            <w:tcW w:type="dxa" w:w="3216"/>
          </w:tcPr>
          <w:p>
            <w:r>
              <w:rPr>
                <w:rFonts w:ascii="Calibri" w:hAnsi="Calibri"/>
                <w:b w:val="0"/>
                <w:i w:val="0"/>
                <w:color w:val="17202A"/>
                <w:sz w:val="18"/>
              </w:rPr>
              <w:t>Linear Interpolation</w:t>
            </w:r>
          </w:p>
        </w:tc>
        <w:tc>
          <w:tcPr>
            <w:tcW w:type="dxa" w:w="3216"/>
          </w:tcPr>
          <w:p>
            <w:r>
              <w:rPr>
                <w:rFonts w:ascii="Calibri" w:hAnsi="Calibri"/>
                <w:b w:val="0"/>
                <w:i w:val="0"/>
                <w:color w:val="17202A"/>
                <w:sz w:val="18"/>
              </w:rPr>
              <w:t>3.215</w:t>
            </w:r>
          </w:p>
        </w:tc>
      </w:tr>
      <w:tr>
        <w:tc>
          <w:tcPr>
            <w:tcW w:type="dxa" w:w="3216"/>
          </w:tcPr>
          <w:p>
            <w:r>
              <w:rPr>
                <w:rFonts w:ascii="Calibri" w:hAnsi="Calibri"/>
                <w:b w:val="0"/>
                <w:i w:val="0"/>
                <w:color w:val="17202A"/>
                <w:sz w:val="18"/>
              </w:rPr>
              <w:t>Discharges</w:t>
            </w:r>
          </w:p>
        </w:tc>
        <w:tc>
          <w:tcPr>
            <w:tcW w:type="dxa" w:w="3216"/>
          </w:tcPr>
          <w:p>
            <w:r>
              <w:rPr>
                <w:rFonts w:ascii="Calibri" w:hAnsi="Calibri"/>
                <w:b w:val="0"/>
                <w:i w:val="0"/>
                <w:color w:val="17202A"/>
                <w:sz w:val="18"/>
              </w:rPr>
              <w:t>Iterative Imputer (MICE)</w:t>
            </w:r>
          </w:p>
        </w:tc>
        <w:tc>
          <w:tcPr>
            <w:tcW w:type="dxa" w:w="3216"/>
          </w:tcPr>
          <w:p>
            <w:r>
              <w:rPr>
                <w:rFonts w:ascii="Calibri" w:hAnsi="Calibri"/>
                <w:b w:val="0"/>
                <w:i w:val="0"/>
                <w:color w:val="17202A"/>
                <w:sz w:val="18"/>
              </w:rPr>
              <w:t>7.053</w:t>
            </w:r>
          </w:p>
        </w:tc>
      </w:tr>
      <w:tr>
        <w:tc>
          <w:tcPr>
            <w:tcW w:type="dxa" w:w="3216"/>
          </w:tcPr>
          <w:p>
            <w:r>
              <w:rPr>
                <w:rFonts w:ascii="Calibri" w:hAnsi="Calibri"/>
                <w:b w:val="0"/>
                <w:i w:val="0"/>
                <w:color w:val="17202A"/>
                <w:sz w:val="18"/>
              </w:rPr>
              <w:t>Doctors</w:t>
            </w:r>
          </w:p>
        </w:tc>
        <w:tc>
          <w:tcPr>
            <w:tcW w:type="dxa" w:w="3216"/>
          </w:tcPr>
          <w:p>
            <w:r>
              <w:rPr>
                <w:rFonts w:ascii="Calibri" w:hAnsi="Calibri"/>
                <w:b w:val="0"/>
                <w:i w:val="0"/>
                <w:color w:val="17202A"/>
                <w:sz w:val="18"/>
              </w:rPr>
              <w:t>Iterative Imputer (MICE)</w:t>
            </w:r>
          </w:p>
        </w:tc>
        <w:tc>
          <w:tcPr>
            <w:tcW w:type="dxa" w:w="3216"/>
          </w:tcPr>
          <w:p>
            <w:r>
              <w:rPr>
                <w:rFonts w:ascii="Calibri" w:hAnsi="Calibri"/>
                <w:b w:val="0"/>
                <w:i w:val="0"/>
                <w:color w:val="17202A"/>
                <w:sz w:val="18"/>
              </w:rPr>
              <w:t>1.075</w:t>
            </w:r>
          </w:p>
        </w:tc>
      </w:tr>
      <w:tr>
        <w:tc>
          <w:tcPr>
            <w:tcW w:type="dxa" w:w="3216"/>
          </w:tcPr>
          <w:p>
            <w:r>
              <w:rPr>
                <w:rFonts w:ascii="Calibri" w:hAnsi="Calibri"/>
                <w:b w:val="0"/>
                <w:i w:val="0"/>
                <w:color w:val="17202A"/>
                <w:sz w:val="18"/>
              </w:rPr>
              <w:t>Emergency_Beds</w:t>
            </w:r>
          </w:p>
        </w:tc>
        <w:tc>
          <w:tcPr>
            <w:tcW w:type="dxa" w:w="3216"/>
          </w:tcPr>
          <w:p>
            <w:r>
              <w:rPr>
                <w:rFonts w:ascii="Calibri" w:hAnsi="Calibri"/>
                <w:b w:val="0"/>
                <w:i w:val="0"/>
                <w:color w:val="17202A"/>
                <w:sz w:val="18"/>
              </w:rPr>
              <w:t>Iterative Imputer (MICE)</w:t>
            </w:r>
          </w:p>
        </w:tc>
        <w:tc>
          <w:tcPr>
            <w:tcW w:type="dxa" w:w="3216"/>
          </w:tcPr>
          <w:p>
            <w:r>
              <w:rPr>
                <w:rFonts w:ascii="Calibri" w:hAnsi="Calibri"/>
                <w:b w:val="0"/>
                <w:i w:val="0"/>
                <w:color w:val="17202A"/>
                <w:sz w:val="18"/>
              </w:rPr>
              <w:t>6.908</w:t>
            </w:r>
          </w:p>
        </w:tc>
      </w:tr>
      <w:tr>
        <w:tc>
          <w:tcPr>
            <w:tcW w:type="dxa" w:w="3216"/>
          </w:tcPr>
          <w:p>
            <w:r>
              <w:rPr>
                <w:rFonts w:ascii="Calibri" w:hAnsi="Calibri"/>
                <w:b w:val="0"/>
                <w:i w:val="0"/>
                <w:color w:val="17202A"/>
                <w:sz w:val="18"/>
              </w:rPr>
              <w:t>Emergency_Cases</w:t>
            </w:r>
          </w:p>
        </w:tc>
        <w:tc>
          <w:tcPr>
            <w:tcW w:type="dxa" w:w="3216"/>
          </w:tcPr>
          <w:p>
            <w:r>
              <w:rPr>
                <w:rFonts w:ascii="Calibri" w:hAnsi="Calibri"/>
                <w:b w:val="0"/>
                <w:i w:val="0"/>
                <w:color w:val="17202A"/>
                <w:sz w:val="18"/>
              </w:rPr>
              <w:t>Iterative Imputer (MICE)</w:t>
            </w:r>
          </w:p>
        </w:tc>
        <w:tc>
          <w:tcPr>
            <w:tcW w:type="dxa" w:w="3216"/>
          </w:tcPr>
          <w:p>
            <w:r>
              <w:rPr>
                <w:rFonts w:ascii="Calibri" w:hAnsi="Calibri"/>
                <w:b w:val="0"/>
                <w:i w:val="0"/>
                <w:color w:val="17202A"/>
                <w:sz w:val="18"/>
              </w:rPr>
              <w:t>6.626</w:t>
            </w:r>
          </w:p>
        </w:tc>
      </w:tr>
      <w:tr>
        <w:tc>
          <w:tcPr>
            <w:tcW w:type="dxa" w:w="3216"/>
          </w:tcPr>
          <w:p>
            <w:r>
              <w:rPr>
                <w:rFonts w:ascii="Calibri" w:hAnsi="Calibri"/>
                <w:b w:val="0"/>
                <w:i w:val="0"/>
                <w:color w:val="17202A"/>
                <w:sz w:val="18"/>
              </w:rPr>
              <w:t>General_Beds</w:t>
            </w:r>
          </w:p>
        </w:tc>
        <w:tc>
          <w:tcPr>
            <w:tcW w:type="dxa" w:w="3216"/>
          </w:tcPr>
          <w:p>
            <w:r>
              <w:rPr>
                <w:rFonts w:ascii="Calibri" w:hAnsi="Calibri"/>
                <w:b w:val="0"/>
                <w:i w:val="0"/>
                <w:color w:val="17202A"/>
                <w:sz w:val="18"/>
              </w:rPr>
              <w:t>Iterative Imputer (MICE)</w:t>
            </w:r>
          </w:p>
        </w:tc>
        <w:tc>
          <w:tcPr>
            <w:tcW w:type="dxa" w:w="3216"/>
          </w:tcPr>
          <w:p>
            <w:r>
              <w:rPr>
                <w:rFonts w:ascii="Calibri" w:hAnsi="Calibri"/>
                <w:b w:val="0"/>
                <w:i w:val="0"/>
                <w:color w:val="17202A"/>
                <w:sz w:val="18"/>
              </w:rPr>
              <w:t>9.893</w:t>
            </w:r>
          </w:p>
        </w:tc>
      </w:tr>
      <w:tr>
        <w:tc>
          <w:tcPr>
            <w:tcW w:type="dxa" w:w="3216"/>
          </w:tcPr>
          <w:p>
            <w:r>
              <w:rPr>
                <w:rFonts w:ascii="Calibri" w:hAnsi="Calibri"/>
                <w:b w:val="0"/>
                <w:i w:val="0"/>
                <w:color w:val="17202A"/>
                <w:sz w:val="18"/>
              </w:rPr>
              <w:t>ICU_Beds</w:t>
            </w:r>
          </w:p>
        </w:tc>
        <w:tc>
          <w:tcPr>
            <w:tcW w:type="dxa" w:w="3216"/>
          </w:tcPr>
          <w:p>
            <w:r>
              <w:rPr>
                <w:rFonts w:ascii="Calibri" w:hAnsi="Calibri"/>
                <w:b w:val="0"/>
                <w:i w:val="0"/>
                <w:color w:val="17202A"/>
                <w:sz w:val="18"/>
              </w:rPr>
              <w:t>Iterative Imputer (MICE)</w:t>
            </w:r>
          </w:p>
        </w:tc>
        <w:tc>
          <w:tcPr>
            <w:tcW w:type="dxa" w:w="3216"/>
          </w:tcPr>
          <w:p>
            <w:r>
              <w:rPr>
                <w:rFonts w:ascii="Calibri" w:hAnsi="Calibri"/>
                <w:b w:val="0"/>
                <w:i w:val="0"/>
                <w:color w:val="17202A"/>
                <w:sz w:val="18"/>
              </w:rPr>
              <w:t>5.777</w:t>
            </w:r>
          </w:p>
        </w:tc>
      </w:tr>
    </w:tbl>
    <w:sectPr w:rsidR="00FC693F" w:rsidRPr="0006063C" w:rsidSect="00034616">
      <w:headerReference w:type="default" r:id="rId9"/>
      <w:footerReference w:type="default" r:id="rId10"/>
      <w:pgSz w:w="12240" w:h="15840"/>
      <w:pgMar w:top="1224" w:right="1296" w:bottom="1224"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F8C8D"/>
        <w:sz w:val="17"/>
      </w:rPr>
      <w:t>Synthetic data only | Portfolio capstone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7F8C8D"/>
        <w:sz w:val="17"/>
      </w:rPr>
      <w:t>Hospital Census Analytics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