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7F73" w:rsidRDefault="00360E96">
      <w:pPr>
        <w:spacing w:after="40"/>
      </w:pPr>
      <w:r>
        <w:rPr>
          <w:rFonts w:ascii="Arial" w:hAnsi="Arial"/>
          <w:b/>
          <w:color w:val="1B365D"/>
          <w:sz w:val="36"/>
        </w:rPr>
        <w:t>ESCV - Egypt Supply Chain Visibility</w:t>
      </w:r>
    </w:p>
    <w:p w:rsidR="007E7F73" w:rsidRDefault="00360E96" w:rsidP="00360E96">
      <w:pPr>
        <w:spacing w:after="280"/>
      </w:pPr>
      <w:r>
        <w:rPr>
          <w:rFonts w:ascii="Arial" w:hAnsi="Arial"/>
          <w:i/>
          <w:color w:val="4A5568"/>
          <w:sz w:val="19"/>
        </w:rPr>
        <w:t>Individual Weekly Contribution Report - Week 2</w:t>
      </w:r>
      <w:r>
        <w:rPr>
          <w:rFonts w:ascii="Arial" w:hAnsi="Arial"/>
          <w:i/>
          <w:color w:val="4A5568"/>
          <w:sz w:val="19"/>
        </w:rPr>
        <w:br/>
        <w:t>University Capstone Project | Agile Scrum / Secure SDLC | Template: AM-TEMPLATE-01</w:t>
      </w:r>
      <w:bookmarkStart w:id="0" w:name="_GoBack"/>
      <w:bookmarkEnd w:id="0"/>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68"/>
        <w:gridCol w:w="6480"/>
      </w:tblGrid>
      <w:tr w:rsidR="007E7F73">
        <w:trPr>
          <w:jc w:val="center"/>
        </w:trPr>
        <w:tc>
          <w:tcPr>
            <w:tcW w:w="3168" w:type="dxa"/>
            <w:tcMar>
              <w:top w:w="60" w:type="dxa"/>
              <w:left w:w="150" w:type="dxa"/>
              <w:bottom w:w="60" w:type="dxa"/>
              <w:right w:w="150" w:type="dxa"/>
            </w:tcMar>
          </w:tcPr>
          <w:p w:rsidR="007E7F73" w:rsidRDefault="00360E96">
            <w:pPr>
              <w:spacing w:before="40" w:after="40"/>
            </w:pPr>
            <w:r>
              <w:rPr>
                <w:rFonts w:ascii="Arial" w:hAnsi="Arial"/>
                <w:b/>
                <w:color w:val="1B365D"/>
                <w:sz w:val="19"/>
              </w:rPr>
              <w:t>Document ID</w:t>
            </w:r>
          </w:p>
        </w:tc>
        <w:tc>
          <w:tcPr>
            <w:tcW w:w="6480" w:type="dxa"/>
            <w:tcMar>
              <w:top w:w="60" w:type="dxa"/>
              <w:left w:w="150" w:type="dxa"/>
              <w:bottom w:w="60" w:type="dxa"/>
              <w:right w:w="150" w:type="dxa"/>
            </w:tcMar>
          </w:tcPr>
          <w:p w:rsidR="007E7F73" w:rsidRDefault="00360E96">
            <w:pPr>
              <w:spacing w:before="40" w:after="40"/>
            </w:pPr>
            <w:r>
              <w:rPr>
                <w:rFonts w:ascii="Arial" w:hAnsi="Arial"/>
                <w:color w:val="2D3748"/>
                <w:sz w:val="19"/>
              </w:rPr>
              <w:t>NA-SYSDES-02.docx</w:t>
            </w:r>
          </w:p>
        </w:tc>
      </w:tr>
      <w:tr w:rsidR="007E7F73">
        <w:trPr>
          <w:jc w:val="center"/>
        </w:trPr>
        <w:tc>
          <w:tcPr>
            <w:tcW w:w="3168" w:type="dxa"/>
            <w:shd w:val="clear" w:color="auto" w:fill="F1F5F9"/>
            <w:tcMar>
              <w:top w:w="60" w:type="dxa"/>
              <w:left w:w="150" w:type="dxa"/>
              <w:bottom w:w="60" w:type="dxa"/>
              <w:right w:w="150" w:type="dxa"/>
            </w:tcMar>
          </w:tcPr>
          <w:p w:rsidR="007E7F73" w:rsidRDefault="00360E96">
            <w:pPr>
              <w:spacing w:before="40" w:after="40"/>
            </w:pPr>
            <w:r>
              <w:rPr>
                <w:rFonts w:ascii="Arial" w:hAnsi="Arial"/>
                <w:b/>
                <w:color w:val="1B365D"/>
                <w:sz w:val="19"/>
              </w:rPr>
              <w:t>Project</w:t>
            </w:r>
          </w:p>
        </w:tc>
        <w:tc>
          <w:tcPr>
            <w:tcW w:w="6480" w:type="dxa"/>
            <w:shd w:val="clear" w:color="auto" w:fill="F1F5F9"/>
            <w:tcMar>
              <w:top w:w="60" w:type="dxa"/>
              <w:left w:w="150" w:type="dxa"/>
              <w:bottom w:w="60" w:type="dxa"/>
              <w:right w:w="150" w:type="dxa"/>
            </w:tcMar>
          </w:tcPr>
          <w:p w:rsidR="007E7F73" w:rsidRDefault="00360E96">
            <w:pPr>
              <w:spacing w:before="40" w:after="40"/>
            </w:pPr>
            <w:r>
              <w:rPr>
                <w:rFonts w:ascii="Arial" w:hAnsi="Arial"/>
                <w:color w:val="2D3748"/>
                <w:sz w:val="19"/>
              </w:rPr>
              <w:t>Egypt Supply Chain Visibility (ESCV)</w:t>
            </w:r>
          </w:p>
        </w:tc>
      </w:tr>
      <w:tr w:rsidR="007E7F73">
        <w:trPr>
          <w:jc w:val="center"/>
        </w:trPr>
        <w:tc>
          <w:tcPr>
            <w:tcW w:w="3168" w:type="dxa"/>
            <w:tcMar>
              <w:top w:w="60" w:type="dxa"/>
              <w:left w:w="150" w:type="dxa"/>
              <w:bottom w:w="60" w:type="dxa"/>
              <w:right w:w="150" w:type="dxa"/>
            </w:tcMar>
          </w:tcPr>
          <w:p w:rsidR="007E7F73" w:rsidRDefault="00360E96">
            <w:pPr>
              <w:spacing w:before="40" w:after="40"/>
            </w:pPr>
            <w:r>
              <w:rPr>
                <w:rFonts w:ascii="Arial" w:hAnsi="Arial"/>
                <w:b/>
                <w:color w:val="1B365D"/>
                <w:sz w:val="19"/>
              </w:rPr>
              <w:t>Reporting Week</w:t>
            </w:r>
          </w:p>
        </w:tc>
        <w:tc>
          <w:tcPr>
            <w:tcW w:w="6480" w:type="dxa"/>
            <w:tcMar>
              <w:top w:w="60" w:type="dxa"/>
              <w:left w:w="150" w:type="dxa"/>
              <w:bottom w:w="60" w:type="dxa"/>
              <w:right w:w="150" w:type="dxa"/>
            </w:tcMar>
          </w:tcPr>
          <w:p w:rsidR="007E7F73" w:rsidRDefault="00360E96">
            <w:pPr>
              <w:spacing w:before="40" w:after="40"/>
            </w:pPr>
            <w:r>
              <w:rPr>
                <w:rFonts w:ascii="Arial" w:hAnsi="Arial"/>
                <w:color w:val="2D3748"/>
                <w:sz w:val="19"/>
              </w:rPr>
              <w:t>Week 2</w:t>
            </w:r>
          </w:p>
        </w:tc>
      </w:tr>
      <w:tr w:rsidR="007E7F73">
        <w:trPr>
          <w:jc w:val="center"/>
        </w:trPr>
        <w:tc>
          <w:tcPr>
            <w:tcW w:w="3168" w:type="dxa"/>
            <w:shd w:val="clear" w:color="auto" w:fill="F1F5F9"/>
            <w:tcMar>
              <w:top w:w="60" w:type="dxa"/>
              <w:left w:w="150" w:type="dxa"/>
              <w:bottom w:w="60" w:type="dxa"/>
              <w:right w:w="150" w:type="dxa"/>
            </w:tcMar>
          </w:tcPr>
          <w:p w:rsidR="007E7F73" w:rsidRDefault="00360E96">
            <w:pPr>
              <w:spacing w:before="40" w:after="40"/>
            </w:pPr>
            <w:r>
              <w:rPr>
                <w:rFonts w:ascii="Arial" w:hAnsi="Arial"/>
                <w:b/>
                <w:color w:val="1B365D"/>
                <w:sz w:val="19"/>
              </w:rPr>
              <w:t>Reporting Period</w:t>
            </w:r>
          </w:p>
        </w:tc>
        <w:tc>
          <w:tcPr>
            <w:tcW w:w="6480" w:type="dxa"/>
            <w:shd w:val="clear" w:color="auto" w:fill="F1F5F9"/>
            <w:tcMar>
              <w:top w:w="60" w:type="dxa"/>
              <w:left w:w="150" w:type="dxa"/>
              <w:bottom w:w="60" w:type="dxa"/>
              <w:right w:w="150" w:type="dxa"/>
            </w:tcMar>
          </w:tcPr>
          <w:p w:rsidR="007E7F73" w:rsidRDefault="00360E96">
            <w:pPr>
              <w:spacing w:before="40" w:after="40"/>
            </w:pPr>
            <w:r>
              <w:rPr>
                <w:rFonts w:ascii="Arial" w:hAnsi="Arial"/>
                <w:color w:val="2D3748"/>
                <w:sz w:val="19"/>
              </w:rPr>
              <w:t>04 October 2026 – 10 October 2026</w:t>
            </w:r>
          </w:p>
        </w:tc>
      </w:tr>
      <w:tr w:rsidR="007E7F73">
        <w:trPr>
          <w:jc w:val="center"/>
        </w:trPr>
        <w:tc>
          <w:tcPr>
            <w:tcW w:w="3168" w:type="dxa"/>
            <w:tcMar>
              <w:top w:w="60" w:type="dxa"/>
              <w:left w:w="150" w:type="dxa"/>
              <w:bottom w:w="60" w:type="dxa"/>
              <w:right w:w="150" w:type="dxa"/>
            </w:tcMar>
          </w:tcPr>
          <w:p w:rsidR="007E7F73" w:rsidRDefault="00360E96">
            <w:pPr>
              <w:spacing w:before="40" w:after="40"/>
            </w:pPr>
            <w:r>
              <w:rPr>
                <w:rFonts w:ascii="Arial" w:hAnsi="Arial"/>
                <w:b/>
                <w:color w:val="1B365D"/>
                <w:sz w:val="19"/>
              </w:rPr>
              <w:t>Team Member</w:t>
            </w:r>
          </w:p>
        </w:tc>
        <w:tc>
          <w:tcPr>
            <w:tcW w:w="6480" w:type="dxa"/>
            <w:tcMar>
              <w:top w:w="60" w:type="dxa"/>
              <w:left w:w="150" w:type="dxa"/>
              <w:bottom w:w="60" w:type="dxa"/>
              <w:right w:w="150" w:type="dxa"/>
            </w:tcMar>
          </w:tcPr>
          <w:p w:rsidR="007E7F73" w:rsidRDefault="00360E96">
            <w:pPr>
              <w:spacing w:before="40" w:after="40"/>
            </w:pPr>
            <w:r>
              <w:rPr>
                <w:rFonts w:ascii="Arial" w:hAnsi="Arial"/>
                <w:color w:val="2D3748"/>
                <w:sz w:val="19"/>
              </w:rPr>
              <w:t>Nour Amr</w:t>
            </w:r>
          </w:p>
        </w:tc>
      </w:tr>
      <w:tr w:rsidR="007E7F73">
        <w:trPr>
          <w:jc w:val="center"/>
        </w:trPr>
        <w:tc>
          <w:tcPr>
            <w:tcW w:w="3168" w:type="dxa"/>
            <w:shd w:val="clear" w:color="auto" w:fill="F1F5F9"/>
            <w:tcMar>
              <w:top w:w="60" w:type="dxa"/>
              <w:left w:w="150" w:type="dxa"/>
              <w:bottom w:w="60" w:type="dxa"/>
              <w:right w:w="150" w:type="dxa"/>
            </w:tcMar>
          </w:tcPr>
          <w:p w:rsidR="007E7F73" w:rsidRDefault="00360E96">
            <w:pPr>
              <w:spacing w:before="40" w:after="40"/>
            </w:pPr>
            <w:r>
              <w:rPr>
                <w:rFonts w:ascii="Arial" w:hAnsi="Arial"/>
                <w:b/>
                <w:color w:val="1B365D"/>
                <w:sz w:val="19"/>
              </w:rPr>
              <w:t>Primary Role</w:t>
            </w:r>
          </w:p>
        </w:tc>
        <w:tc>
          <w:tcPr>
            <w:tcW w:w="6480" w:type="dxa"/>
            <w:shd w:val="clear" w:color="auto" w:fill="F1F5F9"/>
            <w:tcMar>
              <w:top w:w="60" w:type="dxa"/>
              <w:left w:w="150" w:type="dxa"/>
              <w:bottom w:w="60" w:type="dxa"/>
              <w:right w:w="150" w:type="dxa"/>
            </w:tcMar>
          </w:tcPr>
          <w:p w:rsidR="007E7F73" w:rsidRDefault="00360E96">
            <w:pPr>
              <w:spacing w:before="40" w:after="40"/>
            </w:pPr>
            <w:r>
              <w:rPr>
                <w:rFonts w:ascii="Arial" w:hAnsi="Arial"/>
                <w:color w:val="2D3748"/>
                <w:sz w:val="19"/>
              </w:rPr>
              <w:t>System Design</w:t>
            </w:r>
          </w:p>
        </w:tc>
      </w:tr>
      <w:tr w:rsidR="007E7F73">
        <w:trPr>
          <w:jc w:val="center"/>
        </w:trPr>
        <w:tc>
          <w:tcPr>
            <w:tcW w:w="3168" w:type="dxa"/>
            <w:tcMar>
              <w:top w:w="60" w:type="dxa"/>
              <w:left w:w="150" w:type="dxa"/>
              <w:bottom w:w="60" w:type="dxa"/>
              <w:right w:w="150" w:type="dxa"/>
            </w:tcMar>
          </w:tcPr>
          <w:p w:rsidR="007E7F73" w:rsidRDefault="00360E96">
            <w:pPr>
              <w:spacing w:before="40" w:after="40"/>
            </w:pPr>
            <w:r>
              <w:rPr>
                <w:rFonts w:ascii="Arial" w:hAnsi="Arial"/>
                <w:b/>
                <w:color w:val="1B365D"/>
                <w:sz w:val="19"/>
              </w:rPr>
              <w:t>Workstream / Part</w:t>
            </w:r>
          </w:p>
        </w:tc>
        <w:tc>
          <w:tcPr>
            <w:tcW w:w="6480" w:type="dxa"/>
            <w:tcMar>
              <w:top w:w="60" w:type="dxa"/>
              <w:left w:w="150" w:type="dxa"/>
              <w:bottom w:w="60" w:type="dxa"/>
              <w:right w:w="150" w:type="dxa"/>
            </w:tcMar>
          </w:tcPr>
          <w:p w:rsidR="007E7F73" w:rsidRDefault="00360E96">
            <w:pPr>
              <w:spacing w:before="40" w:after="40"/>
            </w:pPr>
            <w:r>
              <w:rPr>
                <w:rFonts w:ascii="Arial" w:hAnsi="Arial"/>
                <w:color w:val="2D3748"/>
                <w:sz w:val="19"/>
              </w:rPr>
              <w:t>SYSDES</w:t>
            </w:r>
          </w:p>
        </w:tc>
      </w:tr>
      <w:tr w:rsidR="007E7F73">
        <w:trPr>
          <w:jc w:val="center"/>
        </w:trPr>
        <w:tc>
          <w:tcPr>
            <w:tcW w:w="3168" w:type="dxa"/>
            <w:shd w:val="clear" w:color="auto" w:fill="F1F5F9"/>
            <w:tcMar>
              <w:top w:w="60" w:type="dxa"/>
              <w:left w:w="150" w:type="dxa"/>
              <w:bottom w:w="60" w:type="dxa"/>
              <w:right w:w="150" w:type="dxa"/>
            </w:tcMar>
          </w:tcPr>
          <w:p w:rsidR="007E7F73" w:rsidRDefault="00360E96">
            <w:pPr>
              <w:spacing w:before="40" w:after="40"/>
            </w:pPr>
            <w:r>
              <w:rPr>
                <w:rFonts w:ascii="Arial" w:hAnsi="Arial"/>
                <w:b/>
                <w:color w:val="1B365D"/>
                <w:sz w:val="19"/>
              </w:rPr>
              <w:t>Document Status</w:t>
            </w:r>
          </w:p>
        </w:tc>
        <w:tc>
          <w:tcPr>
            <w:tcW w:w="6480" w:type="dxa"/>
            <w:shd w:val="clear" w:color="auto" w:fill="F1F5F9"/>
            <w:tcMar>
              <w:top w:w="60" w:type="dxa"/>
              <w:left w:w="150" w:type="dxa"/>
              <w:bottom w:w="60" w:type="dxa"/>
              <w:right w:w="150" w:type="dxa"/>
            </w:tcMar>
          </w:tcPr>
          <w:p w:rsidR="007E7F73" w:rsidRDefault="00360E96">
            <w:pPr>
              <w:spacing w:before="40" w:after="40"/>
            </w:pPr>
            <w:r>
              <w:rPr>
                <w:rFonts w:ascii="Arial" w:hAnsi="Arial"/>
                <w:color w:val="2D3748"/>
                <w:sz w:val="19"/>
              </w:rPr>
              <w:t>Submitted</w:t>
            </w:r>
          </w:p>
        </w:tc>
      </w:tr>
      <w:tr w:rsidR="007E7F73">
        <w:trPr>
          <w:jc w:val="center"/>
        </w:trPr>
        <w:tc>
          <w:tcPr>
            <w:tcW w:w="3168" w:type="dxa"/>
            <w:tcMar>
              <w:top w:w="60" w:type="dxa"/>
              <w:left w:w="150" w:type="dxa"/>
              <w:bottom w:w="60" w:type="dxa"/>
              <w:right w:w="150" w:type="dxa"/>
            </w:tcMar>
          </w:tcPr>
          <w:p w:rsidR="007E7F73" w:rsidRDefault="00360E96">
            <w:pPr>
              <w:spacing w:before="40" w:after="40"/>
            </w:pPr>
            <w:r>
              <w:rPr>
                <w:rFonts w:ascii="Arial" w:hAnsi="Arial"/>
                <w:b/>
                <w:color w:val="1B365D"/>
                <w:sz w:val="19"/>
              </w:rPr>
              <w:t>Version</w:t>
            </w:r>
          </w:p>
        </w:tc>
        <w:tc>
          <w:tcPr>
            <w:tcW w:w="6480" w:type="dxa"/>
            <w:tcMar>
              <w:top w:w="60" w:type="dxa"/>
              <w:left w:w="150" w:type="dxa"/>
              <w:bottom w:w="60" w:type="dxa"/>
              <w:right w:w="150" w:type="dxa"/>
            </w:tcMar>
          </w:tcPr>
          <w:p w:rsidR="007E7F73" w:rsidRDefault="00360E96">
            <w:pPr>
              <w:spacing w:before="40" w:after="40"/>
            </w:pPr>
            <w:r>
              <w:rPr>
                <w:rFonts w:ascii="Arial" w:hAnsi="Arial"/>
                <w:color w:val="2D3748"/>
                <w:sz w:val="19"/>
              </w:rPr>
              <w:t>v1.0</w:t>
            </w:r>
          </w:p>
        </w:tc>
      </w:tr>
      <w:tr w:rsidR="007E7F73">
        <w:trPr>
          <w:jc w:val="center"/>
        </w:trPr>
        <w:tc>
          <w:tcPr>
            <w:tcW w:w="3168" w:type="dxa"/>
            <w:shd w:val="clear" w:color="auto" w:fill="F1F5F9"/>
            <w:tcMar>
              <w:top w:w="60" w:type="dxa"/>
              <w:left w:w="150" w:type="dxa"/>
              <w:bottom w:w="60" w:type="dxa"/>
              <w:right w:w="150" w:type="dxa"/>
            </w:tcMar>
          </w:tcPr>
          <w:p w:rsidR="007E7F73" w:rsidRDefault="00360E96">
            <w:pPr>
              <w:spacing w:before="40" w:after="40"/>
            </w:pPr>
            <w:r>
              <w:rPr>
                <w:rFonts w:ascii="Arial" w:hAnsi="Arial"/>
                <w:b/>
                <w:color w:val="1B365D"/>
                <w:sz w:val="19"/>
              </w:rPr>
              <w:t>Submission Date</w:t>
            </w:r>
          </w:p>
        </w:tc>
        <w:tc>
          <w:tcPr>
            <w:tcW w:w="6480" w:type="dxa"/>
            <w:shd w:val="clear" w:color="auto" w:fill="F1F5F9"/>
            <w:tcMar>
              <w:top w:w="60" w:type="dxa"/>
              <w:left w:w="150" w:type="dxa"/>
              <w:bottom w:w="60" w:type="dxa"/>
              <w:right w:w="150" w:type="dxa"/>
            </w:tcMar>
          </w:tcPr>
          <w:p w:rsidR="007E7F73" w:rsidRDefault="00360E96">
            <w:pPr>
              <w:spacing w:before="40" w:after="40"/>
            </w:pPr>
            <w:r>
              <w:rPr>
                <w:rFonts w:ascii="Arial" w:hAnsi="Arial"/>
                <w:color w:val="2D3748"/>
                <w:sz w:val="19"/>
              </w:rPr>
              <w:t>10</w:t>
            </w:r>
            <w:r>
              <w:rPr>
                <w:rFonts w:ascii="Arial" w:hAnsi="Arial"/>
                <w:color w:val="2D3748"/>
                <w:sz w:val="19"/>
              </w:rPr>
              <w:t xml:space="preserve"> October 2026</w:t>
            </w:r>
          </w:p>
        </w:tc>
      </w:tr>
    </w:tbl>
    <w:p w:rsidR="007E7F73" w:rsidRDefault="00360E96">
      <w:pPr>
        <w:keepNext/>
        <w:spacing w:before="280" w:after="120"/>
      </w:pPr>
      <w:r>
        <w:rPr>
          <w:rFonts w:ascii="Arial" w:hAnsi="Arial"/>
          <w:b/>
          <w:color w:val="1B365D"/>
          <w:sz w:val="26"/>
        </w:rPr>
        <w:t>1. Purpose of the Report</w:t>
      </w:r>
    </w:p>
    <w:p w:rsidR="007E7F73" w:rsidRDefault="00360E96">
      <w:pPr>
        <w:spacing w:after="160"/>
      </w:pPr>
      <w:r>
        <w:rPr>
          <w:rFonts w:ascii="Arial" w:hAnsi="Arial"/>
          <w:color w:val="2D3748"/>
          <w:sz w:val="20"/>
        </w:rPr>
        <w:t>This report records the actual work completed by the team member during the reporting week. It provides traceable evidence of contribution to ESCV and should be maintained as part of the project documentation.</w:t>
      </w:r>
    </w:p>
    <w:p w:rsidR="007E7F73" w:rsidRDefault="00360E96">
      <w:pPr>
        <w:keepNext/>
        <w:spacing w:before="280" w:after="120"/>
      </w:pPr>
      <w:r>
        <w:rPr>
          <w:rFonts w:ascii="Arial" w:hAnsi="Arial"/>
          <w:b/>
          <w:color w:val="1B365D"/>
          <w:sz w:val="26"/>
        </w:rPr>
        <w:t xml:space="preserve">2. </w:t>
      </w:r>
      <w:r>
        <w:rPr>
          <w:rFonts w:ascii="Arial" w:hAnsi="Arial"/>
          <w:b/>
          <w:color w:val="1B365D"/>
          <w:sz w:val="26"/>
        </w:rPr>
        <w:t>Weekly Objective</w:t>
      </w:r>
    </w:p>
    <w:p w:rsidR="007E7F73" w:rsidRDefault="00360E96">
      <w:pPr>
        <w:spacing w:after="160"/>
      </w:pPr>
      <w:r>
        <w:rPr>
          <w:rFonts w:ascii="Arial" w:hAnsi="Arial"/>
          <w:color w:val="2D3748"/>
          <w:sz w:val="20"/>
        </w:rPr>
        <w:t>Define comprehensive user journeys across all 5 system roles (Shipper, Carrier, Regulator, Org Admin, Platform Admin) and outline precise system boundaries, access control matrices, and integration points.</w:t>
      </w:r>
    </w:p>
    <w:p w:rsidR="007E7F73" w:rsidRDefault="00360E96">
      <w:pPr>
        <w:keepNext/>
        <w:spacing w:before="280" w:after="120"/>
      </w:pPr>
      <w:r>
        <w:rPr>
          <w:rFonts w:ascii="Arial" w:hAnsi="Arial"/>
          <w:b/>
          <w:color w:val="1B365D"/>
          <w:sz w:val="26"/>
        </w:rPr>
        <w:t>3. Work Completed</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2440"/>
        <w:gridCol w:w="1408"/>
        <w:gridCol w:w="3216"/>
        <w:gridCol w:w="3172"/>
      </w:tblGrid>
      <w:tr w:rsidR="007E7F73">
        <w:trPr>
          <w:jc w:val="center"/>
        </w:trPr>
        <w:tc>
          <w:tcPr>
            <w:tcW w:w="2592"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Activity / Deli</w:t>
            </w:r>
            <w:r>
              <w:rPr>
                <w:rFonts w:ascii="Arial" w:hAnsi="Arial"/>
                <w:b/>
                <w:color w:val="FFFFFF"/>
                <w:sz w:val="19"/>
              </w:rPr>
              <w:t>verable</w:t>
            </w:r>
          </w:p>
        </w:tc>
        <w:tc>
          <w:tcPr>
            <w:tcW w:w="1440"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Status</w:t>
            </w:r>
          </w:p>
        </w:tc>
        <w:tc>
          <w:tcPr>
            <w:tcW w:w="3456"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Contribution</w:t>
            </w:r>
          </w:p>
        </w:tc>
        <w:tc>
          <w:tcPr>
            <w:tcW w:w="2160"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Evidence / Reference</w:t>
            </w:r>
          </w:p>
        </w:tc>
      </w:tr>
      <w:tr w:rsidR="007E7F73">
        <w:trPr>
          <w:jc w:val="center"/>
        </w:trPr>
        <w:tc>
          <w:tcPr>
            <w:tcW w:w="2592" w:type="dxa"/>
            <w:tcMar>
              <w:top w:w="80" w:type="dxa"/>
              <w:left w:w="150" w:type="dxa"/>
              <w:bottom w:w="80" w:type="dxa"/>
              <w:right w:w="150" w:type="dxa"/>
            </w:tcMar>
          </w:tcPr>
          <w:p w:rsidR="007E7F73" w:rsidRDefault="00360E96">
            <w:pPr>
              <w:spacing w:before="40" w:after="40"/>
            </w:pPr>
            <w:r>
              <w:rPr>
                <w:rFonts w:ascii="Arial" w:hAnsi="Arial"/>
                <w:color w:val="2D3748"/>
                <w:sz w:val="18"/>
              </w:rPr>
              <w:t>Step-by-Step User Journey Specification</w:t>
            </w:r>
          </w:p>
        </w:tc>
        <w:tc>
          <w:tcPr>
            <w:tcW w:w="1440" w:type="dxa"/>
            <w:tcMar>
              <w:top w:w="80" w:type="dxa"/>
              <w:left w:w="150" w:type="dxa"/>
              <w:bottom w:w="80" w:type="dxa"/>
              <w:right w:w="150" w:type="dxa"/>
            </w:tcMar>
          </w:tcPr>
          <w:p w:rsidR="007E7F73" w:rsidRDefault="00360E96">
            <w:pPr>
              <w:spacing w:before="40" w:after="40"/>
            </w:pPr>
            <w:r>
              <w:rPr>
                <w:rFonts w:ascii="Arial" w:hAnsi="Arial"/>
                <w:color w:val="2D3748"/>
                <w:sz w:val="18"/>
              </w:rPr>
              <w:t>Completed</w:t>
            </w:r>
          </w:p>
        </w:tc>
        <w:tc>
          <w:tcPr>
            <w:tcW w:w="3456" w:type="dxa"/>
            <w:tcMar>
              <w:top w:w="80" w:type="dxa"/>
              <w:left w:w="150" w:type="dxa"/>
              <w:bottom w:w="80" w:type="dxa"/>
              <w:right w:w="150" w:type="dxa"/>
            </w:tcMar>
          </w:tcPr>
          <w:p w:rsidR="007E7F73" w:rsidRDefault="00360E96">
            <w:pPr>
              <w:spacing w:before="40" w:after="40"/>
            </w:pPr>
            <w:r>
              <w:rPr>
                <w:rFonts w:ascii="Arial" w:hAnsi="Arial"/>
                <w:color w:val="2D3748"/>
                <w:sz w:val="18"/>
              </w:rPr>
              <w:t xml:space="preserve">Mapped granular end-to-end user workflows for Shippers (from shipment creation to delivery confirmation) and Carriers (from load assignment to execution </w:t>
            </w:r>
            <w:r>
              <w:rPr>
                <w:rFonts w:ascii="Arial" w:hAnsi="Arial"/>
                <w:color w:val="2D3748"/>
                <w:sz w:val="18"/>
              </w:rPr>
              <w:t>status reporting).</w:t>
            </w:r>
          </w:p>
        </w:tc>
        <w:tc>
          <w:tcPr>
            <w:tcW w:w="2160" w:type="dxa"/>
            <w:tcMar>
              <w:top w:w="80" w:type="dxa"/>
              <w:left w:w="150" w:type="dxa"/>
              <w:bottom w:w="80" w:type="dxa"/>
              <w:right w:w="150" w:type="dxa"/>
            </w:tcMar>
          </w:tcPr>
          <w:p w:rsidR="007E7F73" w:rsidRDefault="00360E96">
            <w:pPr>
              <w:spacing w:before="40" w:after="40"/>
            </w:pPr>
            <w:r>
              <w:rPr>
                <w:rFonts w:ascii="Arial" w:hAnsi="Arial"/>
                <w:color w:val="2D3748"/>
                <w:sz w:val="18"/>
              </w:rPr>
              <w:t>docs/design/user_journeys_v1.md</w:t>
            </w:r>
          </w:p>
        </w:tc>
      </w:tr>
      <w:tr w:rsidR="007E7F73">
        <w:trPr>
          <w:jc w:val="center"/>
        </w:trPr>
        <w:tc>
          <w:tcPr>
            <w:tcW w:w="2592" w:type="dxa"/>
            <w:shd w:val="clear" w:color="auto" w:fill="F1F5F9"/>
            <w:tcMar>
              <w:top w:w="80" w:type="dxa"/>
              <w:left w:w="150" w:type="dxa"/>
              <w:bottom w:w="80" w:type="dxa"/>
              <w:right w:w="150" w:type="dxa"/>
            </w:tcMar>
          </w:tcPr>
          <w:p w:rsidR="007E7F73" w:rsidRDefault="00360E96">
            <w:pPr>
              <w:spacing w:before="40" w:after="40"/>
            </w:pPr>
            <w:r>
              <w:rPr>
                <w:rFonts w:ascii="Arial" w:hAnsi="Arial"/>
                <w:color w:val="2D3748"/>
                <w:sz w:val="18"/>
              </w:rPr>
              <w:t>Regulator Boundary &amp; Access Control Matrix</w:t>
            </w:r>
          </w:p>
        </w:tc>
        <w:tc>
          <w:tcPr>
            <w:tcW w:w="1440" w:type="dxa"/>
            <w:shd w:val="clear" w:color="auto" w:fill="F1F5F9"/>
            <w:tcMar>
              <w:top w:w="80" w:type="dxa"/>
              <w:left w:w="150" w:type="dxa"/>
              <w:bottom w:w="80" w:type="dxa"/>
              <w:right w:w="150" w:type="dxa"/>
            </w:tcMar>
          </w:tcPr>
          <w:p w:rsidR="007E7F73" w:rsidRDefault="00360E96">
            <w:pPr>
              <w:spacing w:before="40" w:after="40"/>
            </w:pPr>
            <w:r>
              <w:rPr>
                <w:rFonts w:ascii="Arial" w:hAnsi="Arial"/>
                <w:color w:val="2D3748"/>
                <w:sz w:val="18"/>
              </w:rPr>
              <w:t>Completed</w:t>
            </w:r>
          </w:p>
        </w:tc>
        <w:tc>
          <w:tcPr>
            <w:tcW w:w="3456" w:type="dxa"/>
            <w:shd w:val="clear" w:color="auto" w:fill="F1F5F9"/>
            <w:tcMar>
              <w:top w:w="80" w:type="dxa"/>
              <w:left w:w="150" w:type="dxa"/>
              <w:bottom w:w="80" w:type="dxa"/>
              <w:right w:w="150" w:type="dxa"/>
            </w:tcMar>
          </w:tcPr>
          <w:p w:rsidR="007E7F73" w:rsidRDefault="00360E96">
            <w:pPr>
              <w:spacing w:before="40" w:after="40"/>
            </w:pPr>
            <w:r>
              <w:rPr>
                <w:rFonts w:ascii="Arial" w:hAnsi="Arial"/>
                <w:color w:val="2D3748"/>
                <w:sz w:val="18"/>
              </w:rPr>
              <w:t>Designed read-only inspection flows for regulatory stakeholders and administrative oversight boundaries, ensuring strict data isolation.</w:t>
            </w:r>
          </w:p>
        </w:tc>
        <w:tc>
          <w:tcPr>
            <w:tcW w:w="2160" w:type="dxa"/>
            <w:shd w:val="clear" w:color="auto" w:fill="F1F5F9"/>
            <w:tcMar>
              <w:top w:w="80" w:type="dxa"/>
              <w:left w:w="150" w:type="dxa"/>
              <w:bottom w:w="80" w:type="dxa"/>
              <w:right w:w="150" w:type="dxa"/>
            </w:tcMar>
          </w:tcPr>
          <w:p w:rsidR="007E7F73" w:rsidRDefault="00360E96">
            <w:pPr>
              <w:spacing w:before="40" w:after="40"/>
            </w:pPr>
            <w:r>
              <w:rPr>
                <w:rFonts w:ascii="Arial" w:hAnsi="Arial"/>
                <w:color w:val="2D3748"/>
                <w:sz w:val="18"/>
              </w:rPr>
              <w:t>docs/design/system_boundaries.pdf</w:t>
            </w:r>
          </w:p>
        </w:tc>
      </w:tr>
    </w:tbl>
    <w:p w:rsidR="007E7F73" w:rsidRDefault="00360E96">
      <w:pPr>
        <w:keepNext/>
        <w:spacing w:before="280" w:after="120"/>
      </w:pPr>
      <w:r>
        <w:rPr>
          <w:rFonts w:ascii="Arial" w:hAnsi="Arial"/>
          <w:b/>
          <w:color w:val="1B365D"/>
          <w:sz w:val="26"/>
        </w:rPr>
        <w:lastRenderedPageBreak/>
        <w:t>4. Contribution to ESCV</w:t>
      </w:r>
    </w:p>
    <w:p w:rsidR="007E7F73" w:rsidRDefault="00360E96">
      <w:pPr>
        <w:spacing w:after="160"/>
      </w:pPr>
      <w:r>
        <w:rPr>
          <w:rFonts w:ascii="Arial" w:hAnsi="Arial"/>
          <w:color w:val="2D3748"/>
          <w:sz w:val="20"/>
        </w:rPr>
        <w:t>Clarified precise end-user interaction loops, supplying concrete functional requirements and screen behavior rules for the frontend development team (Ebram) and API contracts for the backend (Ahmed</w:t>
      </w:r>
      <w:r>
        <w:rPr>
          <w:rFonts w:ascii="Arial" w:hAnsi="Arial"/>
          <w:color w:val="2D3748"/>
          <w:sz w:val="20"/>
        </w:rPr>
        <w:t xml:space="preserve"> Medhat).</w:t>
      </w:r>
    </w:p>
    <w:p w:rsidR="007E7F73" w:rsidRDefault="00360E96">
      <w:pPr>
        <w:keepNext/>
        <w:spacing w:before="280" w:after="120"/>
      </w:pPr>
      <w:r>
        <w:rPr>
          <w:rFonts w:ascii="Arial" w:hAnsi="Arial"/>
          <w:b/>
          <w:color w:val="1B365D"/>
          <w:sz w:val="26"/>
        </w:rPr>
        <w:t>5. Project-Specific Output</w:t>
      </w:r>
    </w:p>
    <w:p w:rsidR="007E7F73" w:rsidRDefault="00360E96">
      <w:pPr>
        <w:pStyle w:val="ListBullet"/>
        <w:spacing w:after="80"/>
      </w:pPr>
      <w:r>
        <w:rPr>
          <w:rFonts w:ascii="Arial" w:hAnsi="Arial"/>
          <w:b/>
          <w:color w:val="2D3748"/>
          <w:sz w:val="20"/>
        </w:rPr>
        <w:t xml:space="preserve">User Journey Specification Document: </w:t>
      </w:r>
      <w:r>
        <w:rPr>
          <w:rFonts w:ascii="Arial" w:hAnsi="Arial"/>
          <w:color w:val="2D3748"/>
          <w:sz w:val="20"/>
        </w:rPr>
        <w:t>Detailed markdown spec outlining role-specific actions and UI triggers.</w:t>
      </w:r>
    </w:p>
    <w:p w:rsidR="007E7F73" w:rsidRDefault="00360E96">
      <w:pPr>
        <w:pStyle w:val="ListBullet"/>
        <w:spacing w:after="80"/>
      </w:pPr>
      <w:r>
        <w:rPr>
          <w:rFonts w:ascii="Arial" w:hAnsi="Arial"/>
          <w:b/>
          <w:color w:val="2D3748"/>
          <w:sz w:val="20"/>
        </w:rPr>
        <w:t xml:space="preserve">System Boundary Context Matrix: </w:t>
      </w:r>
      <w:r>
        <w:rPr>
          <w:rFonts w:ascii="Arial" w:hAnsi="Arial"/>
          <w:color w:val="2D3748"/>
          <w:sz w:val="20"/>
        </w:rPr>
        <w:t>Formalized matrix establishing write vs. read permissions per role.</w:t>
      </w:r>
    </w:p>
    <w:p w:rsidR="007E7F73" w:rsidRDefault="00360E96">
      <w:pPr>
        <w:keepNext/>
        <w:spacing w:before="280" w:after="120"/>
      </w:pPr>
      <w:r>
        <w:rPr>
          <w:rFonts w:ascii="Arial" w:hAnsi="Arial"/>
          <w:b/>
          <w:color w:val="1B365D"/>
          <w:sz w:val="26"/>
        </w:rPr>
        <w:t>6. Problem</w:t>
      </w:r>
      <w:r>
        <w:rPr>
          <w:rFonts w:ascii="Arial" w:hAnsi="Arial"/>
          <w:b/>
          <w:color w:val="1B365D"/>
          <w:sz w:val="26"/>
        </w:rPr>
        <w:t>s, Risks, and Open Questions</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68"/>
        <w:gridCol w:w="1296"/>
        <w:gridCol w:w="1584"/>
        <w:gridCol w:w="3600"/>
      </w:tblGrid>
      <w:tr w:rsidR="007E7F73">
        <w:trPr>
          <w:jc w:val="center"/>
        </w:trPr>
        <w:tc>
          <w:tcPr>
            <w:tcW w:w="3168"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Issue / Question</w:t>
            </w:r>
          </w:p>
        </w:tc>
        <w:tc>
          <w:tcPr>
            <w:tcW w:w="1296"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Impact</w:t>
            </w:r>
          </w:p>
        </w:tc>
        <w:tc>
          <w:tcPr>
            <w:tcW w:w="1584"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Current Status</w:t>
            </w:r>
          </w:p>
        </w:tc>
        <w:tc>
          <w:tcPr>
            <w:tcW w:w="3600"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Owner / Next Action</w:t>
            </w:r>
          </w:p>
        </w:tc>
      </w:tr>
      <w:tr w:rsidR="007E7F73">
        <w:trPr>
          <w:jc w:val="center"/>
        </w:trPr>
        <w:tc>
          <w:tcPr>
            <w:tcW w:w="3168" w:type="dxa"/>
            <w:tcMar>
              <w:top w:w="80" w:type="dxa"/>
              <w:left w:w="150" w:type="dxa"/>
              <w:bottom w:w="80" w:type="dxa"/>
              <w:right w:w="150" w:type="dxa"/>
            </w:tcMar>
          </w:tcPr>
          <w:p w:rsidR="007E7F73" w:rsidRDefault="00360E96">
            <w:pPr>
              <w:spacing w:before="40" w:after="40"/>
            </w:pPr>
            <w:r>
              <w:rPr>
                <w:rFonts w:ascii="Arial" w:hAnsi="Arial"/>
                <w:color w:val="2D3748"/>
                <w:sz w:val="18"/>
              </w:rPr>
              <w:t>High-frequency real-time location updates potentially causing UI rendering bottlenecks or map performance degradation on the client side.</w:t>
            </w:r>
          </w:p>
        </w:tc>
        <w:tc>
          <w:tcPr>
            <w:tcW w:w="1296" w:type="dxa"/>
            <w:tcMar>
              <w:top w:w="80" w:type="dxa"/>
              <w:left w:w="150" w:type="dxa"/>
              <w:bottom w:w="80" w:type="dxa"/>
              <w:right w:w="150" w:type="dxa"/>
            </w:tcMar>
          </w:tcPr>
          <w:p w:rsidR="007E7F73" w:rsidRDefault="00360E96">
            <w:pPr>
              <w:spacing w:before="40" w:after="40"/>
            </w:pPr>
            <w:r>
              <w:rPr>
                <w:rFonts w:ascii="Arial" w:hAnsi="Arial"/>
                <w:color w:val="2D3748"/>
                <w:sz w:val="18"/>
              </w:rPr>
              <w:t>Medium</w:t>
            </w:r>
          </w:p>
        </w:tc>
        <w:tc>
          <w:tcPr>
            <w:tcW w:w="1584" w:type="dxa"/>
            <w:tcMar>
              <w:top w:w="80" w:type="dxa"/>
              <w:left w:w="150" w:type="dxa"/>
              <w:bottom w:w="80" w:type="dxa"/>
              <w:right w:w="150" w:type="dxa"/>
            </w:tcMar>
          </w:tcPr>
          <w:p w:rsidR="007E7F73" w:rsidRDefault="00360E96">
            <w:pPr>
              <w:spacing w:before="40" w:after="40"/>
            </w:pPr>
            <w:r>
              <w:rPr>
                <w:rFonts w:ascii="Arial" w:hAnsi="Arial"/>
                <w:color w:val="2D3748"/>
                <w:sz w:val="18"/>
              </w:rPr>
              <w:t>Monitoring</w:t>
            </w:r>
          </w:p>
        </w:tc>
        <w:tc>
          <w:tcPr>
            <w:tcW w:w="3600" w:type="dxa"/>
            <w:tcMar>
              <w:top w:w="80" w:type="dxa"/>
              <w:left w:w="150" w:type="dxa"/>
              <w:bottom w:w="80" w:type="dxa"/>
              <w:right w:w="150" w:type="dxa"/>
            </w:tcMar>
          </w:tcPr>
          <w:p w:rsidR="007E7F73" w:rsidRDefault="00360E96">
            <w:pPr>
              <w:spacing w:before="40" w:after="40"/>
            </w:pPr>
            <w:r>
              <w:rPr>
                <w:rFonts w:ascii="Arial" w:hAnsi="Arial"/>
                <w:color w:val="2D3748"/>
                <w:sz w:val="18"/>
              </w:rPr>
              <w:t>Coordinating with DevOps and Backend teams to implement Socket.IO event throttling and payload rate-limiting.</w:t>
            </w:r>
          </w:p>
        </w:tc>
      </w:tr>
    </w:tbl>
    <w:p w:rsidR="007E7F73" w:rsidRDefault="00360E96">
      <w:pPr>
        <w:keepNext/>
        <w:spacing w:before="280" w:after="120"/>
      </w:pPr>
      <w:r>
        <w:rPr>
          <w:rFonts w:ascii="Arial" w:hAnsi="Arial"/>
          <w:b/>
          <w:color w:val="1B365D"/>
          <w:sz w:val="26"/>
        </w:rPr>
        <w:t>7. Decisions and Changes</w:t>
      </w:r>
    </w:p>
    <w:p w:rsidR="007E7F73" w:rsidRDefault="00360E96">
      <w:pPr>
        <w:pStyle w:val="ListBullet"/>
        <w:spacing w:after="160"/>
      </w:pPr>
      <w:r>
        <w:rPr>
          <w:rFonts w:ascii="Arial" w:hAnsi="Arial"/>
          <w:color w:val="2D3748"/>
          <w:sz w:val="20"/>
        </w:rPr>
        <w:t>Enforced a strict read-only scope for Regulator access to preserve commercial data confidentiality between competing log</w:t>
      </w:r>
      <w:r>
        <w:rPr>
          <w:rFonts w:ascii="Arial" w:hAnsi="Arial"/>
          <w:color w:val="2D3748"/>
          <w:sz w:val="20"/>
        </w:rPr>
        <w:t>istics organizations.</w:t>
      </w:r>
    </w:p>
    <w:p w:rsidR="007E7F73" w:rsidRDefault="00360E96">
      <w:pPr>
        <w:keepNext/>
        <w:spacing w:before="280" w:after="120"/>
      </w:pPr>
      <w:r>
        <w:rPr>
          <w:rFonts w:ascii="Arial" w:hAnsi="Arial"/>
          <w:b/>
          <w:color w:val="1B365D"/>
          <w:sz w:val="26"/>
        </w:rPr>
        <w:t>8. Evidence Register</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1584"/>
        <w:gridCol w:w="1728"/>
        <w:gridCol w:w="3456"/>
        <w:gridCol w:w="3172"/>
      </w:tblGrid>
      <w:tr w:rsidR="007E7F73">
        <w:trPr>
          <w:jc w:val="center"/>
        </w:trPr>
        <w:tc>
          <w:tcPr>
            <w:tcW w:w="1584"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Evidence ID</w:t>
            </w:r>
          </w:p>
        </w:tc>
        <w:tc>
          <w:tcPr>
            <w:tcW w:w="1728"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Evidence Type</w:t>
            </w:r>
          </w:p>
        </w:tc>
        <w:tc>
          <w:tcPr>
            <w:tcW w:w="3456"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Description</w:t>
            </w:r>
          </w:p>
        </w:tc>
        <w:tc>
          <w:tcPr>
            <w:tcW w:w="2880"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Repository / File Reference</w:t>
            </w:r>
          </w:p>
        </w:tc>
      </w:tr>
      <w:tr w:rsidR="007E7F73">
        <w:trPr>
          <w:jc w:val="center"/>
        </w:trPr>
        <w:tc>
          <w:tcPr>
            <w:tcW w:w="1584" w:type="dxa"/>
            <w:tcMar>
              <w:top w:w="80" w:type="dxa"/>
              <w:left w:w="150" w:type="dxa"/>
              <w:bottom w:w="80" w:type="dxa"/>
              <w:right w:w="150" w:type="dxa"/>
            </w:tcMar>
          </w:tcPr>
          <w:p w:rsidR="007E7F73" w:rsidRDefault="00360E96">
            <w:pPr>
              <w:spacing w:before="40" w:after="40"/>
            </w:pPr>
            <w:r>
              <w:rPr>
                <w:rFonts w:ascii="Arial" w:hAnsi="Arial"/>
                <w:color w:val="2D3748"/>
                <w:sz w:val="18"/>
              </w:rPr>
              <w:t>EV-01</w:t>
            </w:r>
          </w:p>
        </w:tc>
        <w:tc>
          <w:tcPr>
            <w:tcW w:w="1728" w:type="dxa"/>
            <w:tcMar>
              <w:top w:w="80" w:type="dxa"/>
              <w:left w:w="150" w:type="dxa"/>
              <w:bottom w:w="80" w:type="dxa"/>
              <w:right w:w="150" w:type="dxa"/>
            </w:tcMar>
          </w:tcPr>
          <w:p w:rsidR="007E7F73" w:rsidRDefault="00360E96">
            <w:pPr>
              <w:spacing w:before="40" w:after="40"/>
            </w:pPr>
            <w:r>
              <w:rPr>
                <w:rFonts w:ascii="Arial" w:hAnsi="Arial"/>
                <w:color w:val="2D3748"/>
                <w:sz w:val="18"/>
              </w:rPr>
              <w:t>Specification</w:t>
            </w:r>
          </w:p>
        </w:tc>
        <w:tc>
          <w:tcPr>
            <w:tcW w:w="3456" w:type="dxa"/>
            <w:tcMar>
              <w:top w:w="80" w:type="dxa"/>
              <w:left w:w="150" w:type="dxa"/>
              <w:bottom w:w="80" w:type="dxa"/>
              <w:right w:w="150" w:type="dxa"/>
            </w:tcMar>
          </w:tcPr>
          <w:p w:rsidR="007E7F73" w:rsidRDefault="00360E96">
            <w:pPr>
              <w:spacing w:before="40" w:after="40"/>
            </w:pPr>
            <w:r>
              <w:rPr>
                <w:rFonts w:ascii="Arial" w:hAnsi="Arial"/>
                <w:color w:val="2D3748"/>
                <w:sz w:val="18"/>
              </w:rPr>
              <w:t>Detailed User Journey Maps</w:t>
            </w:r>
          </w:p>
        </w:tc>
        <w:tc>
          <w:tcPr>
            <w:tcW w:w="2880" w:type="dxa"/>
            <w:tcMar>
              <w:top w:w="80" w:type="dxa"/>
              <w:left w:w="150" w:type="dxa"/>
              <w:bottom w:w="80" w:type="dxa"/>
              <w:right w:w="150" w:type="dxa"/>
            </w:tcMar>
          </w:tcPr>
          <w:p w:rsidR="007E7F73" w:rsidRDefault="00360E96">
            <w:pPr>
              <w:spacing w:before="40" w:after="40"/>
            </w:pPr>
            <w:r>
              <w:rPr>
                <w:rFonts w:ascii="Arial" w:hAnsi="Arial"/>
                <w:color w:val="2D3748"/>
                <w:sz w:val="18"/>
              </w:rPr>
              <w:t>docs/design/user_journeys_v1.md</w:t>
            </w:r>
          </w:p>
        </w:tc>
      </w:tr>
      <w:tr w:rsidR="007E7F73">
        <w:trPr>
          <w:jc w:val="center"/>
        </w:trPr>
        <w:tc>
          <w:tcPr>
            <w:tcW w:w="1584" w:type="dxa"/>
            <w:shd w:val="clear" w:color="auto" w:fill="F1F5F9"/>
            <w:tcMar>
              <w:top w:w="80" w:type="dxa"/>
              <w:left w:w="150" w:type="dxa"/>
              <w:bottom w:w="80" w:type="dxa"/>
              <w:right w:w="150" w:type="dxa"/>
            </w:tcMar>
          </w:tcPr>
          <w:p w:rsidR="007E7F73" w:rsidRDefault="00360E96">
            <w:pPr>
              <w:spacing w:before="40" w:after="40"/>
            </w:pPr>
            <w:r>
              <w:rPr>
                <w:rFonts w:ascii="Arial" w:hAnsi="Arial"/>
                <w:color w:val="2D3748"/>
                <w:sz w:val="18"/>
              </w:rPr>
              <w:t>EV-02</w:t>
            </w:r>
          </w:p>
        </w:tc>
        <w:tc>
          <w:tcPr>
            <w:tcW w:w="1728" w:type="dxa"/>
            <w:shd w:val="clear" w:color="auto" w:fill="F1F5F9"/>
            <w:tcMar>
              <w:top w:w="80" w:type="dxa"/>
              <w:left w:w="150" w:type="dxa"/>
              <w:bottom w:w="80" w:type="dxa"/>
              <w:right w:w="150" w:type="dxa"/>
            </w:tcMar>
          </w:tcPr>
          <w:p w:rsidR="007E7F73" w:rsidRDefault="00360E96">
            <w:pPr>
              <w:spacing w:before="40" w:after="40"/>
            </w:pPr>
            <w:r>
              <w:rPr>
                <w:rFonts w:ascii="Arial" w:hAnsi="Arial"/>
                <w:color w:val="2D3748"/>
                <w:sz w:val="18"/>
              </w:rPr>
              <w:t>Diagram</w:t>
            </w:r>
          </w:p>
        </w:tc>
        <w:tc>
          <w:tcPr>
            <w:tcW w:w="3456" w:type="dxa"/>
            <w:shd w:val="clear" w:color="auto" w:fill="F1F5F9"/>
            <w:tcMar>
              <w:top w:w="80" w:type="dxa"/>
              <w:left w:w="150" w:type="dxa"/>
              <w:bottom w:w="80" w:type="dxa"/>
              <w:right w:w="150" w:type="dxa"/>
            </w:tcMar>
          </w:tcPr>
          <w:p w:rsidR="007E7F73" w:rsidRDefault="00360E96">
            <w:pPr>
              <w:spacing w:before="40" w:after="40"/>
            </w:pPr>
            <w:r>
              <w:rPr>
                <w:rFonts w:ascii="Arial" w:hAnsi="Arial"/>
                <w:color w:val="2D3748"/>
                <w:sz w:val="18"/>
              </w:rPr>
              <w:t>System Boundary Context Diagram</w:t>
            </w:r>
          </w:p>
        </w:tc>
        <w:tc>
          <w:tcPr>
            <w:tcW w:w="2880" w:type="dxa"/>
            <w:shd w:val="clear" w:color="auto" w:fill="F1F5F9"/>
            <w:tcMar>
              <w:top w:w="80" w:type="dxa"/>
              <w:left w:w="150" w:type="dxa"/>
              <w:bottom w:w="80" w:type="dxa"/>
              <w:right w:w="150" w:type="dxa"/>
            </w:tcMar>
          </w:tcPr>
          <w:p w:rsidR="007E7F73" w:rsidRDefault="00360E96">
            <w:pPr>
              <w:spacing w:before="40" w:after="40"/>
            </w:pPr>
            <w:r>
              <w:rPr>
                <w:rFonts w:ascii="Arial" w:hAnsi="Arial"/>
                <w:color w:val="2D3748"/>
                <w:sz w:val="18"/>
              </w:rPr>
              <w:t>docs/design/system_boundaries.pdf</w:t>
            </w:r>
          </w:p>
        </w:tc>
      </w:tr>
    </w:tbl>
    <w:p w:rsidR="007E7F73" w:rsidRDefault="00360E96">
      <w:pPr>
        <w:keepNext/>
        <w:spacing w:before="280" w:after="120"/>
      </w:pPr>
      <w:r>
        <w:rPr>
          <w:rFonts w:ascii="Arial" w:hAnsi="Arial"/>
          <w:b/>
          <w:color w:val="1B365D"/>
          <w:sz w:val="26"/>
        </w:rPr>
        <w:t>9. Next-Week Follow-Up</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312"/>
        <w:gridCol w:w="3456"/>
        <w:gridCol w:w="2880"/>
      </w:tblGrid>
      <w:tr w:rsidR="007E7F73">
        <w:trPr>
          <w:jc w:val="center"/>
        </w:trPr>
        <w:tc>
          <w:tcPr>
            <w:tcW w:w="3312"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Follow-Up Item</w:t>
            </w:r>
          </w:p>
        </w:tc>
        <w:tc>
          <w:tcPr>
            <w:tcW w:w="3456"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Reason / Dependency</w:t>
            </w:r>
          </w:p>
        </w:tc>
        <w:tc>
          <w:tcPr>
            <w:tcW w:w="2880"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Expected Output</w:t>
            </w:r>
          </w:p>
        </w:tc>
      </w:tr>
      <w:tr w:rsidR="007E7F73">
        <w:trPr>
          <w:jc w:val="center"/>
        </w:trPr>
        <w:tc>
          <w:tcPr>
            <w:tcW w:w="3312" w:type="dxa"/>
            <w:tcMar>
              <w:top w:w="80" w:type="dxa"/>
              <w:left w:w="150" w:type="dxa"/>
              <w:bottom w:w="80" w:type="dxa"/>
              <w:right w:w="150" w:type="dxa"/>
            </w:tcMar>
          </w:tcPr>
          <w:p w:rsidR="007E7F73" w:rsidRDefault="00360E96">
            <w:pPr>
              <w:spacing w:before="40" w:after="40"/>
            </w:pPr>
            <w:r>
              <w:rPr>
                <w:rFonts w:ascii="Arial" w:hAnsi="Arial"/>
                <w:color w:val="2D3748"/>
                <w:sz w:val="18"/>
              </w:rPr>
              <w:t>Map main system interaction diagrams and shipment lifecycle state transitions for Week 3</w:t>
            </w:r>
          </w:p>
        </w:tc>
        <w:tc>
          <w:tcPr>
            <w:tcW w:w="3456" w:type="dxa"/>
            <w:tcMar>
              <w:top w:w="80" w:type="dxa"/>
              <w:left w:w="150" w:type="dxa"/>
              <w:bottom w:w="80" w:type="dxa"/>
              <w:right w:w="150" w:type="dxa"/>
            </w:tcMar>
          </w:tcPr>
          <w:p w:rsidR="007E7F73" w:rsidRDefault="00360E96">
            <w:pPr>
              <w:spacing w:before="40" w:after="40"/>
            </w:pPr>
            <w:r>
              <w:rPr>
                <w:rFonts w:ascii="Arial" w:hAnsi="Arial"/>
                <w:color w:val="2D3748"/>
                <w:sz w:val="18"/>
              </w:rPr>
              <w:t xml:space="preserve">Required to solidify the relationship between database </w:t>
            </w:r>
            <w:r>
              <w:rPr>
                <w:rFonts w:ascii="Arial" w:hAnsi="Arial"/>
                <w:color w:val="2D3748"/>
                <w:sz w:val="18"/>
              </w:rPr>
              <w:t>entities (Rana) and API endpoints</w:t>
            </w:r>
          </w:p>
        </w:tc>
        <w:tc>
          <w:tcPr>
            <w:tcW w:w="2880" w:type="dxa"/>
            <w:tcMar>
              <w:top w:w="80" w:type="dxa"/>
              <w:left w:w="150" w:type="dxa"/>
              <w:bottom w:w="80" w:type="dxa"/>
              <w:right w:w="150" w:type="dxa"/>
            </w:tcMar>
          </w:tcPr>
          <w:p w:rsidR="007E7F73" w:rsidRDefault="00360E96">
            <w:pPr>
              <w:spacing w:before="40" w:after="40"/>
            </w:pPr>
            <w:r>
              <w:rPr>
                <w:rFonts w:ascii="Arial" w:hAnsi="Arial"/>
                <w:color w:val="2D3748"/>
                <w:sz w:val="18"/>
              </w:rPr>
              <w:t>System Sequence &amp; Lifecycle Diagrams</w:t>
            </w:r>
          </w:p>
        </w:tc>
      </w:tr>
    </w:tbl>
    <w:p w:rsidR="007E7F73" w:rsidRDefault="00360E96">
      <w:pPr>
        <w:keepNext/>
        <w:spacing w:before="280" w:after="120"/>
      </w:pPr>
      <w:r>
        <w:rPr>
          <w:rFonts w:ascii="Arial" w:hAnsi="Arial"/>
          <w:b/>
          <w:color w:val="1B365D"/>
          <w:sz w:val="26"/>
        </w:rPr>
        <w:t>10. Traceability</w:t>
      </w:r>
    </w:p>
    <w:tbl>
      <w:tblPr>
        <w:tblW w:w="0" w:type="auto"/>
        <w:jc w:val="center"/>
        <w:tblBorders>
          <w:top w:val="single" w:sz="4" w:space="0" w:color="CBD5E0"/>
          <w:bottom w:val="single" w:sz="4" w:space="0" w:color="CBD5E0"/>
          <w:insideH w:val="single" w:sz="4" w:space="0" w:color="CBD5E0"/>
        </w:tblBorders>
        <w:tblLook w:val="04A0" w:firstRow="1" w:lastRow="0" w:firstColumn="1" w:lastColumn="0" w:noHBand="0" w:noVBand="1"/>
      </w:tblPr>
      <w:tblGrid>
        <w:gridCol w:w="3168"/>
        <w:gridCol w:w="2880"/>
        <w:gridCol w:w="3600"/>
      </w:tblGrid>
      <w:tr w:rsidR="007E7F73">
        <w:trPr>
          <w:jc w:val="center"/>
        </w:trPr>
        <w:tc>
          <w:tcPr>
            <w:tcW w:w="3168"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Reference Type</w:t>
            </w:r>
          </w:p>
        </w:tc>
        <w:tc>
          <w:tcPr>
            <w:tcW w:w="2880"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ID</w:t>
            </w:r>
          </w:p>
        </w:tc>
        <w:tc>
          <w:tcPr>
            <w:tcW w:w="3600" w:type="dxa"/>
            <w:shd w:val="clear" w:color="auto" w:fill="1B365D"/>
            <w:tcMar>
              <w:top w:w="100" w:type="dxa"/>
              <w:left w:w="150" w:type="dxa"/>
              <w:bottom w:w="100" w:type="dxa"/>
              <w:right w:w="150" w:type="dxa"/>
            </w:tcMar>
          </w:tcPr>
          <w:p w:rsidR="007E7F73" w:rsidRDefault="00360E96">
            <w:pPr>
              <w:spacing w:before="40" w:after="40"/>
            </w:pPr>
            <w:r>
              <w:rPr>
                <w:rFonts w:ascii="Arial" w:hAnsi="Arial"/>
                <w:b/>
                <w:color w:val="FFFFFF"/>
                <w:sz w:val="19"/>
              </w:rPr>
              <w:t>Reference</w:t>
            </w:r>
          </w:p>
        </w:tc>
      </w:tr>
      <w:tr w:rsidR="007E7F73">
        <w:trPr>
          <w:jc w:val="center"/>
        </w:trPr>
        <w:tc>
          <w:tcPr>
            <w:tcW w:w="3168" w:type="dxa"/>
            <w:tcMar>
              <w:top w:w="80" w:type="dxa"/>
              <w:left w:w="150" w:type="dxa"/>
              <w:bottom w:w="80" w:type="dxa"/>
              <w:right w:w="150" w:type="dxa"/>
            </w:tcMar>
          </w:tcPr>
          <w:p w:rsidR="007E7F73" w:rsidRDefault="00360E96">
            <w:pPr>
              <w:spacing w:before="40" w:after="40"/>
            </w:pPr>
            <w:r>
              <w:rPr>
                <w:rFonts w:ascii="Arial" w:hAnsi="Arial"/>
                <w:color w:val="2D3748"/>
                <w:sz w:val="18"/>
              </w:rPr>
              <w:t>Requirement / Story / Issue</w:t>
            </w:r>
          </w:p>
        </w:tc>
        <w:tc>
          <w:tcPr>
            <w:tcW w:w="2880" w:type="dxa"/>
            <w:tcMar>
              <w:top w:w="80" w:type="dxa"/>
              <w:left w:w="150" w:type="dxa"/>
              <w:bottom w:w="80" w:type="dxa"/>
              <w:right w:w="150" w:type="dxa"/>
            </w:tcMar>
          </w:tcPr>
          <w:p w:rsidR="007E7F73" w:rsidRDefault="00360E96">
            <w:pPr>
              <w:spacing w:before="40" w:after="40"/>
            </w:pPr>
            <w:r>
              <w:rPr>
                <w:rFonts w:ascii="Arial" w:hAnsi="Arial"/>
                <w:color w:val="2D3748"/>
                <w:sz w:val="18"/>
              </w:rPr>
              <w:t>SYSDES-WK2-01</w:t>
            </w:r>
          </w:p>
        </w:tc>
        <w:tc>
          <w:tcPr>
            <w:tcW w:w="3600" w:type="dxa"/>
            <w:tcMar>
              <w:top w:w="80" w:type="dxa"/>
              <w:left w:w="150" w:type="dxa"/>
              <w:bottom w:w="80" w:type="dxa"/>
              <w:right w:w="150" w:type="dxa"/>
            </w:tcMar>
          </w:tcPr>
          <w:p w:rsidR="007E7F73" w:rsidRDefault="00360E96">
            <w:pPr>
              <w:spacing w:before="40" w:after="40"/>
            </w:pPr>
            <w:r>
              <w:rPr>
                <w:rFonts w:ascii="Arial" w:hAnsi="Arial"/>
                <w:color w:val="2D3748"/>
                <w:sz w:val="18"/>
              </w:rPr>
              <w:t>US-01 to US-05 / docs/requirements/user_stories.md</w:t>
            </w:r>
          </w:p>
        </w:tc>
      </w:tr>
      <w:tr w:rsidR="007E7F73">
        <w:trPr>
          <w:jc w:val="center"/>
        </w:trPr>
        <w:tc>
          <w:tcPr>
            <w:tcW w:w="3168" w:type="dxa"/>
            <w:shd w:val="clear" w:color="auto" w:fill="F1F5F9"/>
            <w:tcMar>
              <w:top w:w="80" w:type="dxa"/>
              <w:left w:w="150" w:type="dxa"/>
              <w:bottom w:w="80" w:type="dxa"/>
              <w:right w:w="150" w:type="dxa"/>
            </w:tcMar>
          </w:tcPr>
          <w:p w:rsidR="007E7F73" w:rsidRDefault="00360E96">
            <w:pPr>
              <w:spacing w:before="40" w:after="40"/>
            </w:pPr>
            <w:r>
              <w:rPr>
                <w:rFonts w:ascii="Arial" w:hAnsi="Arial"/>
                <w:color w:val="2D3748"/>
                <w:sz w:val="18"/>
              </w:rPr>
              <w:lastRenderedPageBreak/>
              <w:t>Implementation</w:t>
            </w:r>
          </w:p>
        </w:tc>
        <w:tc>
          <w:tcPr>
            <w:tcW w:w="2880" w:type="dxa"/>
            <w:shd w:val="clear" w:color="auto" w:fill="F1F5F9"/>
            <w:tcMar>
              <w:top w:w="80" w:type="dxa"/>
              <w:left w:w="150" w:type="dxa"/>
              <w:bottom w:w="80" w:type="dxa"/>
              <w:right w:w="150" w:type="dxa"/>
            </w:tcMar>
          </w:tcPr>
          <w:p w:rsidR="007E7F73" w:rsidRDefault="00360E96">
            <w:pPr>
              <w:spacing w:before="40" w:after="40"/>
            </w:pPr>
            <w:r>
              <w:rPr>
                <w:rFonts w:ascii="Arial" w:hAnsi="Arial"/>
                <w:color w:val="2D3748"/>
                <w:sz w:val="18"/>
              </w:rPr>
              <w:t>Design Documentation PR</w:t>
            </w:r>
          </w:p>
        </w:tc>
        <w:tc>
          <w:tcPr>
            <w:tcW w:w="3600" w:type="dxa"/>
            <w:shd w:val="clear" w:color="auto" w:fill="F1F5F9"/>
            <w:tcMar>
              <w:top w:w="80" w:type="dxa"/>
              <w:left w:w="150" w:type="dxa"/>
              <w:bottom w:w="80" w:type="dxa"/>
              <w:right w:w="150" w:type="dxa"/>
            </w:tcMar>
          </w:tcPr>
          <w:p w:rsidR="007E7F73" w:rsidRDefault="00360E96">
            <w:pPr>
              <w:spacing w:before="40" w:after="40"/>
            </w:pPr>
            <w:r>
              <w:rPr>
                <w:rFonts w:ascii="Arial" w:hAnsi="Arial"/>
                <w:color w:val="2D3748"/>
                <w:sz w:val="18"/>
              </w:rPr>
              <w:t xml:space="preserve">Pull </w:t>
            </w:r>
            <w:r>
              <w:rPr>
                <w:rFonts w:ascii="Arial" w:hAnsi="Arial"/>
                <w:color w:val="2D3748"/>
                <w:sz w:val="18"/>
              </w:rPr>
              <w:t>Request #14</w:t>
            </w:r>
          </w:p>
        </w:tc>
      </w:tr>
      <w:tr w:rsidR="007E7F73">
        <w:trPr>
          <w:jc w:val="center"/>
        </w:trPr>
        <w:tc>
          <w:tcPr>
            <w:tcW w:w="3168" w:type="dxa"/>
            <w:tcMar>
              <w:top w:w="80" w:type="dxa"/>
              <w:left w:w="150" w:type="dxa"/>
              <w:bottom w:w="80" w:type="dxa"/>
              <w:right w:w="150" w:type="dxa"/>
            </w:tcMar>
          </w:tcPr>
          <w:p w:rsidR="007E7F73" w:rsidRDefault="00360E96">
            <w:pPr>
              <w:spacing w:before="40" w:after="40"/>
            </w:pPr>
            <w:r>
              <w:rPr>
                <w:rFonts w:ascii="Arial" w:hAnsi="Arial"/>
                <w:color w:val="2D3748"/>
                <w:sz w:val="18"/>
              </w:rPr>
              <w:t>Test / Validation</w:t>
            </w:r>
          </w:p>
        </w:tc>
        <w:tc>
          <w:tcPr>
            <w:tcW w:w="2880" w:type="dxa"/>
            <w:tcMar>
              <w:top w:w="80" w:type="dxa"/>
              <w:left w:w="150" w:type="dxa"/>
              <w:bottom w:w="80" w:type="dxa"/>
              <w:right w:w="150" w:type="dxa"/>
            </w:tcMar>
          </w:tcPr>
          <w:p w:rsidR="007E7F73" w:rsidRDefault="00360E96">
            <w:pPr>
              <w:spacing w:before="40" w:after="40"/>
            </w:pPr>
            <w:r>
              <w:rPr>
                <w:rFonts w:ascii="Arial" w:hAnsi="Arial"/>
                <w:color w:val="2D3748"/>
                <w:sz w:val="18"/>
              </w:rPr>
              <w:t>Workflow Cross-Check Review</w:t>
            </w:r>
          </w:p>
        </w:tc>
        <w:tc>
          <w:tcPr>
            <w:tcW w:w="3600" w:type="dxa"/>
            <w:tcMar>
              <w:top w:w="80" w:type="dxa"/>
              <w:left w:w="150" w:type="dxa"/>
              <w:bottom w:w="80" w:type="dxa"/>
              <w:right w:w="150" w:type="dxa"/>
            </w:tcMar>
          </w:tcPr>
          <w:p w:rsidR="007E7F73" w:rsidRDefault="00360E96">
            <w:pPr>
              <w:spacing w:before="40" w:after="40"/>
            </w:pPr>
            <w:r>
              <w:rPr>
                <w:rFonts w:ascii="Arial" w:hAnsi="Arial"/>
                <w:color w:val="2D3748"/>
                <w:sz w:val="18"/>
              </w:rPr>
              <w:t>Review Log #02</w:t>
            </w:r>
          </w:p>
        </w:tc>
      </w:tr>
    </w:tbl>
    <w:p w:rsidR="007E7F73" w:rsidRDefault="00360E96">
      <w:pPr>
        <w:keepNext/>
        <w:spacing w:before="280" w:after="120"/>
      </w:pPr>
      <w:r>
        <w:rPr>
          <w:rFonts w:ascii="Arial" w:hAnsi="Arial"/>
          <w:b/>
          <w:color w:val="1B365D"/>
          <w:sz w:val="26"/>
        </w:rPr>
        <w:t>11. Submission Naming Convention</w:t>
      </w:r>
    </w:p>
    <w:p w:rsidR="007E7F73" w:rsidRDefault="00360E96">
      <w:pPr>
        <w:spacing w:after="160"/>
      </w:pPr>
      <w:r>
        <w:rPr>
          <w:rFonts w:ascii="Arial" w:hAnsi="Arial"/>
          <w:b/>
          <w:color w:val="1B365D"/>
          <w:sz w:val="20"/>
        </w:rPr>
        <w:t>NA-SYSDES-02.docx</w:t>
      </w:r>
    </w:p>
    <w:p w:rsidR="007E7F73" w:rsidRDefault="00360E96">
      <w:pPr>
        <w:keepNext/>
        <w:spacing w:before="280" w:after="120"/>
      </w:pPr>
      <w:r>
        <w:rPr>
          <w:rFonts w:ascii="Arial" w:hAnsi="Arial"/>
          <w:b/>
          <w:color w:val="1B365D"/>
          <w:sz w:val="26"/>
        </w:rPr>
        <w:t>12. Review Checklist</w:t>
      </w:r>
    </w:p>
    <w:p w:rsidR="007E7F73" w:rsidRDefault="00360E96">
      <w:pPr>
        <w:spacing w:after="60"/>
        <w:ind w:left="288"/>
      </w:pPr>
      <w:r>
        <w:rPr>
          <w:rFonts w:ascii="Arial" w:hAnsi="Arial"/>
          <w:b/>
          <w:color w:val="1B365D"/>
          <w:sz w:val="20"/>
        </w:rPr>
        <w:t>☑</w:t>
      </w:r>
      <w:r>
        <w:rPr>
          <w:rFonts w:ascii="Arial" w:hAnsi="Arial"/>
          <w:b/>
          <w:color w:val="1B365D"/>
          <w:sz w:val="20"/>
        </w:rPr>
        <w:t xml:space="preserve">  </w:t>
      </w:r>
      <w:r>
        <w:rPr>
          <w:rFonts w:ascii="Arial" w:hAnsi="Arial"/>
          <w:color w:val="2D3748"/>
          <w:sz w:val="19"/>
        </w:rPr>
        <w:t>Only completed work is reported.</w:t>
      </w:r>
    </w:p>
    <w:p w:rsidR="007E7F73" w:rsidRDefault="00360E96">
      <w:pPr>
        <w:spacing w:after="60"/>
        <w:ind w:left="288"/>
      </w:pPr>
      <w:r>
        <w:rPr>
          <w:rFonts w:ascii="Arial" w:hAnsi="Arial"/>
          <w:b/>
          <w:color w:val="1B365D"/>
          <w:sz w:val="20"/>
        </w:rPr>
        <w:t>☑</w:t>
      </w:r>
      <w:r>
        <w:rPr>
          <w:rFonts w:ascii="Arial" w:hAnsi="Arial"/>
          <w:b/>
          <w:color w:val="1B365D"/>
          <w:sz w:val="20"/>
        </w:rPr>
        <w:t xml:space="preserve">  </w:t>
      </w:r>
      <w:r>
        <w:rPr>
          <w:rFonts w:ascii="Arial" w:hAnsi="Arial"/>
          <w:color w:val="2D3748"/>
          <w:sz w:val="19"/>
        </w:rPr>
        <w:t>All major claims have evidence or a clear source.</w:t>
      </w:r>
    </w:p>
    <w:p w:rsidR="007E7F73" w:rsidRDefault="00360E96">
      <w:pPr>
        <w:spacing w:after="60"/>
        <w:ind w:left="288"/>
      </w:pPr>
      <w:r>
        <w:rPr>
          <w:rFonts w:ascii="Arial" w:hAnsi="Arial"/>
          <w:b/>
          <w:color w:val="1B365D"/>
          <w:sz w:val="20"/>
        </w:rPr>
        <w:t>☑</w:t>
      </w:r>
      <w:r>
        <w:rPr>
          <w:rFonts w:ascii="Arial" w:hAnsi="Arial"/>
          <w:b/>
          <w:color w:val="1B365D"/>
          <w:sz w:val="20"/>
        </w:rPr>
        <w:t xml:space="preserve">  </w:t>
      </w:r>
      <w:r>
        <w:rPr>
          <w:rFonts w:ascii="Arial" w:hAnsi="Arial"/>
          <w:color w:val="2D3748"/>
          <w:sz w:val="19"/>
        </w:rPr>
        <w:t xml:space="preserve">Requirements and </w:t>
      </w:r>
      <w:r>
        <w:rPr>
          <w:rFonts w:ascii="Arial" w:hAnsi="Arial"/>
          <w:color w:val="2D3748"/>
          <w:sz w:val="19"/>
        </w:rPr>
        <w:t>decisions use stable IDs where applicable.</w:t>
      </w:r>
    </w:p>
    <w:p w:rsidR="007E7F73" w:rsidRDefault="00360E96">
      <w:pPr>
        <w:spacing w:after="60"/>
        <w:ind w:left="288"/>
      </w:pPr>
      <w:r>
        <w:rPr>
          <w:rFonts w:ascii="Arial" w:hAnsi="Arial"/>
          <w:b/>
          <w:color w:val="1B365D"/>
          <w:sz w:val="20"/>
        </w:rPr>
        <w:t>☑</w:t>
      </w:r>
      <w:r>
        <w:rPr>
          <w:rFonts w:ascii="Arial" w:hAnsi="Arial"/>
          <w:b/>
          <w:color w:val="1B365D"/>
          <w:sz w:val="20"/>
        </w:rPr>
        <w:t xml:space="preserve">  </w:t>
      </w:r>
      <w:r>
        <w:rPr>
          <w:rFonts w:ascii="Arial" w:hAnsi="Arial"/>
          <w:color w:val="2D3748"/>
          <w:sz w:val="19"/>
        </w:rPr>
        <w:t>No credentials, secrets, tokens, private keys, or sensitive data are included.</w:t>
      </w:r>
    </w:p>
    <w:p w:rsidR="007E7F73" w:rsidRDefault="00360E96">
      <w:pPr>
        <w:spacing w:after="60"/>
        <w:ind w:left="288"/>
      </w:pPr>
      <w:r>
        <w:rPr>
          <w:rFonts w:ascii="Arial" w:hAnsi="Arial"/>
          <w:b/>
          <w:color w:val="1B365D"/>
          <w:sz w:val="20"/>
        </w:rPr>
        <w:t>☑</w:t>
      </w:r>
      <w:r>
        <w:rPr>
          <w:rFonts w:ascii="Arial" w:hAnsi="Arial"/>
          <w:b/>
          <w:color w:val="1B365D"/>
          <w:sz w:val="20"/>
        </w:rPr>
        <w:t xml:space="preserve">  </w:t>
      </w:r>
      <w:r>
        <w:rPr>
          <w:rFonts w:ascii="Arial" w:hAnsi="Arial"/>
          <w:color w:val="2D3748"/>
          <w:sz w:val="19"/>
        </w:rPr>
        <w:t>Repository paths and document IDs are correct.</w:t>
      </w:r>
    </w:p>
    <w:p w:rsidR="007E7F73" w:rsidRDefault="00360E96">
      <w:pPr>
        <w:spacing w:after="60"/>
        <w:ind w:left="288"/>
      </w:pPr>
      <w:r>
        <w:rPr>
          <w:rFonts w:ascii="Arial" w:hAnsi="Arial"/>
          <w:b/>
          <w:color w:val="1B365D"/>
          <w:sz w:val="20"/>
        </w:rPr>
        <w:t>☑</w:t>
      </w:r>
      <w:r>
        <w:rPr>
          <w:rFonts w:ascii="Arial" w:hAnsi="Arial"/>
          <w:b/>
          <w:color w:val="1B365D"/>
          <w:sz w:val="20"/>
        </w:rPr>
        <w:t xml:space="preserve">  </w:t>
      </w:r>
      <w:r>
        <w:rPr>
          <w:rFonts w:ascii="Arial" w:hAnsi="Arial"/>
          <w:color w:val="2D3748"/>
          <w:sz w:val="19"/>
        </w:rPr>
        <w:t>Document version and submission date are updated.</w:t>
      </w:r>
    </w:p>
    <w:p w:rsidR="007E7F73" w:rsidRDefault="00360E96">
      <w:pPr>
        <w:spacing w:after="60"/>
        <w:ind w:left="288"/>
      </w:pPr>
      <w:r>
        <w:rPr>
          <w:rFonts w:ascii="Arial" w:hAnsi="Arial"/>
          <w:b/>
          <w:color w:val="1B365D"/>
          <w:sz w:val="20"/>
        </w:rPr>
        <w:t>☑</w:t>
      </w:r>
      <w:r>
        <w:rPr>
          <w:rFonts w:ascii="Arial" w:hAnsi="Arial"/>
          <w:b/>
          <w:color w:val="1B365D"/>
          <w:sz w:val="20"/>
        </w:rPr>
        <w:t xml:space="preserve">  </w:t>
      </w:r>
      <w:r>
        <w:rPr>
          <w:rFonts w:ascii="Arial" w:hAnsi="Arial"/>
          <w:color w:val="2D3748"/>
          <w:sz w:val="19"/>
        </w:rPr>
        <w:t xml:space="preserve">The report is consistent </w:t>
      </w:r>
      <w:r>
        <w:rPr>
          <w:rFonts w:ascii="Arial" w:hAnsi="Arial"/>
          <w:color w:val="2D3748"/>
          <w:sz w:val="19"/>
        </w:rPr>
        <w:t>with the current ESCV scope and approved proposal.</w:t>
      </w:r>
    </w:p>
    <w:sectPr w:rsidR="007E7F73"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60E96"/>
    <w:rsid w:val="007E7F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FCFB8"/>
  <w14:defaultImageDpi w14:val="300"/>
  <w15:docId w15:val="{17DCD58C-0553-448E-8243-C370B6EE3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EC8B66-7B7B-4E1D-8CB7-B7A581F21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KimoStore</cp:lastModifiedBy>
  <cp:revision>2</cp:revision>
  <dcterms:created xsi:type="dcterms:W3CDTF">2013-12-23T23:15:00Z</dcterms:created>
  <dcterms:modified xsi:type="dcterms:W3CDTF">2026-10-13T15:48:00Z</dcterms:modified>
  <cp:category/>
</cp:coreProperties>
</file>