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Entity Extraction Pipeline</w:t>
      </w:r>
    </w:p>
    <w:p>
      <w:pPr>
        <w:pStyle w:val="Heading2"/>
      </w:pPr>
      <w:r>
        <w:t>Preprocessing</w:t>
      </w:r>
    </w:p>
    <w:p>
      <w:r>
        <w:t>The text preprocessing pipeline underwent multiple iterations to achieve optimal results. Below are the details of the tried and final approaches.</w:t>
      </w:r>
    </w:p>
    <w:p>
      <w:pPr>
        <w:pStyle w:val="Heading3"/>
      </w:pPr>
      <w:r>
        <w:t>Tried Approaches</w:t>
      </w:r>
    </w:p>
    <w:p>
      <w:r>
        <w:t>- Spell checker</w:t>
        <w:br/>
        <w:t>- Contractions</w:t>
        <w:br/>
        <w:t>- Strip</w:t>
        <w:br/>
        <w:t>- Lowercasing</w:t>
        <w:br/>
        <w:t>- Punctuation removal</w:t>
        <w:br/>
        <w:t>- Lemmatization</w:t>
      </w:r>
    </w:p>
    <w:p>
      <w:pPr>
        <w:pStyle w:val="Heading3"/>
      </w:pPr>
      <w:r>
        <w:t>Final Approaches</w:t>
      </w:r>
    </w:p>
    <w:p>
      <w:r>
        <w:t>- Spell checker</w:t>
        <w:br/>
        <w:t>- Strip</w:t>
        <w:br/>
        <w:t>- Lowercasing</w:t>
        <w:br/>
        <w:t>- Punctuation removal</w:t>
      </w:r>
    </w:p>
    <w:p>
      <w:pPr>
        <w:pStyle w:val="Heading2"/>
      </w:pPr>
      <w:r>
        <w:t>Label Preparation</w:t>
      </w:r>
    </w:p>
    <w:p>
      <w:r>
        <w:t>Preparing labels involved multiple approaches before settling on a custom solution.</w:t>
      </w:r>
    </w:p>
    <w:p>
      <w:pPr>
        <w:pStyle w:val="Heading3"/>
      </w:pPr>
      <w:r>
        <w:t>Tried Approaches</w:t>
      </w:r>
    </w:p>
    <w:p>
      <w:r>
        <w:t>- Regular expressions (Regex)</w:t>
      </w:r>
    </w:p>
    <w:p>
      <w:pPr>
        <w:pStyle w:val="Heading3"/>
      </w:pPr>
      <w:r>
        <w:t>Final Approaches</w:t>
      </w:r>
    </w:p>
    <w:p>
      <w:r>
        <w:t>- Custom function tailored for the dataset</w:t>
      </w:r>
    </w:p>
    <w:p>
      <w:pPr>
        <w:pStyle w:val="Heading2"/>
      </w:pPr>
      <w:r>
        <w:t>Tokenization</w:t>
      </w:r>
    </w:p>
    <w:p>
      <w:r>
        <w:t>For tokenization, the final approach used BertTokenizer for consistency with the model architecture.</w:t>
      </w:r>
    </w:p>
    <w:p>
      <w:pPr>
        <w:pStyle w:val="Heading2"/>
      </w:pPr>
      <w:r>
        <w:t>Model Architectures</w:t>
      </w:r>
    </w:p>
    <w:p>
      <w:r>
        <w:t>The model design explored various architectures, focusing on different encoder-decoder setups and transformers.</w:t>
      </w:r>
    </w:p>
    <w:p>
      <w:pPr>
        <w:pStyle w:val="Heading3"/>
      </w:pPr>
      <w:r>
        <w:t>Architecture Variants</w:t>
      </w:r>
    </w:p>
    <w:p>
      <w:r>
        <w:t>1. Encoder-decoder model for pizza or drink entities:</w:t>
        <w:br/>
        <w:t xml:space="preserve">   - Trainable embeddings</w:t>
        <w:br/>
        <w:t xml:space="preserve">   - Bidirectional LSTM for the encoder with 128 units</w:t>
        <w:br/>
        <w:t xml:space="preserve">   - LSTM decoder with 256 units</w:t>
        <w:br/>
        <w:t xml:space="preserve">   - Attention layer</w:t>
        <w:br/>
        <w:br/>
        <w:t>2. Shared encoder with two decoders:</w:t>
        <w:br/>
        <w:t xml:space="preserve">   - Trainable embeddings</w:t>
        <w:br/>
        <w:t xml:space="preserve">   - Dropout layer with probability 0.2</w:t>
        <w:br/>
        <w:t xml:space="preserve">   - Bidirectional LSTM with dropout for the encoder (128 units)</w:t>
        <w:br/>
        <w:t xml:space="preserve">   - LSTM decoder with 256 units and dropout</w:t>
        <w:br/>
        <w:t xml:space="preserve">   - Attention layer</w:t>
        <w:br/>
        <w:t xml:space="preserve">   - Two dense output layers for pizza and drink entities</w:t>
        <w:br/>
        <w:br/>
        <w:t>3. Encoder-decoder for PIZZAORDER and DRINKORDER:</w:t>
        <w:br/>
        <w:t xml:space="preserve">   - Trainable embeddings</w:t>
        <w:br/>
        <w:t xml:space="preserve">   - Dropout layer with probability 0.2</w:t>
        <w:br/>
        <w:t xml:space="preserve">   - Bidirectional LSTM with dropout for the encoder (128 units)</w:t>
        <w:br/>
        <w:t xml:space="preserve">   - LSTM decoder with 256 units and dropout</w:t>
        <w:br/>
        <w:t xml:space="preserve">   - Attention layer</w:t>
        <w:br/>
        <w:t xml:space="preserve">   - Dense output layers</w:t>
        <w:br/>
        <w:br/>
        <w:t>4. Transformer model with contextual embeddings:</w:t>
        <w:br/>
        <w:t xml:space="preserve">   - Contextual embeddings using TFBertModel (untrainable)</w:t>
        <w:br/>
        <w:t xml:space="preserve">   - Two Bidirectional LSTM layers</w:t>
        <w:br/>
        <w:t xml:space="preserve">   - Dense output layer</w:t>
      </w:r>
    </w:p>
    <w:p>
      <w:pPr>
        <w:pStyle w:val="Heading2"/>
      </w:pPr>
      <w:r>
        <w:t>Model Training</w:t>
      </w:r>
    </w:p>
    <w:p>
      <w:r>
        <w:t>The training process involved systematic preprocessing, label preparation, and tokenization, followed by training the models with various callbacks for optimization and monitoring.</w:t>
      </w:r>
    </w:p>
    <w:p>
      <w:pPr>
        <w:pStyle w:val="Heading3"/>
      </w:pPr>
      <w:r>
        <w:t>Steps in Training</w:t>
      </w:r>
    </w:p>
    <w:p>
      <w:r>
        <w:t>- Preprocess text using the final preprocessing pipeline.</w:t>
        <w:br/>
        <w:t>- Prepare labels and add padding to ensure uniform input lengths (maximum 30 words).</w:t>
        <w:br/>
        <w:t>- Tokenize sentences using BertTokenizer, converting them to token IDs and attention masks.</w:t>
        <w:br/>
        <w:t>- Train the model using token IDs, attention masks, and padded labels.</w:t>
        <w:br/>
        <w:t>- Utilize callbacks such as Checkpoint, TensorBoard, ReduceLR, and EarlyStopping.</w:t>
      </w:r>
    </w:p>
    <w:p>
      <w:pPr>
        <w:pStyle w:val="Heading2"/>
      </w:pPr>
      <w:r>
        <w:t>Evaluation</w:t>
      </w:r>
    </w:p>
    <w:p>
      <w:r>
        <w:t>The evaluation focused on validation accuracy and exact matching to identify overfitting issues. Efforts were concentrated on addressing these issues before expanding to other metrics.</w:t>
      </w:r>
    </w:p>
    <w:p>
      <w:pPr>
        <w:pStyle w:val="Heading2"/>
      </w:pPr>
      <w:r>
        <w:t>Final Testing Model</w:t>
      </w:r>
    </w:p>
    <w:p>
      <w:r>
        <w:t>The final model generates three predictions:</w:t>
        <w:br/>
        <w:t>- Two from the shared encoder with two decoders.</w:t>
        <w:br/>
        <w:t>- One from the encoder-decoder for PIZZAORDER or DRINKORDER.</w:t>
        <w:br/>
        <w:t>The predictions are combined to produce the final output in the TOP format.</w:t>
      </w:r>
    </w:p>
    <w:p>
      <w:pPr>
        <w:pStyle w:val="Heading2"/>
      </w:pPr>
      <w:r>
        <w:t>Other Approaches</w:t>
      </w:r>
    </w:p>
    <w:p>
      <w:r>
        <w:t>To augment the dataset, all words within each entity and unique sentence sequences were extracted from the training set. These were used to generate diverse combinations for training augmentation.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