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Maven Fuzzy Factory — Dashboard Insights</w:t>
      </w:r>
    </w:p>
    <w:p>
      <w:pPr/>
      <w:r>
        <w:t xml:space="preserve">By Ahmed Omar</w:t>
      </w:r>
    </w:p>
    <w:p>
      <w:pPr/>
      <w:r>
        <w:t xml:space="preserve">Key, data-backed findings extracted from each dashboard page, organized for use in a project write-up or findings document.</w:t>
      </w:r>
    </w:p>
    <w:p>
      <w:pPr>
        <w:pStyle w:val="Heading2"/>
      </w:pPr>
      <w:r>
        <w:t xml:space="preserve">Overview</w:t>
      </w:r>
    </w:p>
    <w:p>
      <w:pPr>
        <w:pStyle w:val="ListParagraph"/>
        <w:numPr>
          <w:ilvl w:val="0"/>
          <w:numId w:val="2"/>
        </w:numPr>
      </w:pPr>
      <w:r>
        <w:t xml:space="preserve">Total Revenue: </w:t>
      </w:r>
      <w:r>
        <w:rPr>
          <w:b/>
        </w:rPr>
        <w:t xml:space="preserve">$1.9M</w:t>
      </w:r>
      <w:r>
        <w:t xml:space="preserve"> | Total Profit: </w:t>
      </w:r>
      <w:r>
        <w:rPr>
          <w:b/>
        </w:rPr>
        <w:t xml:space="preserve">$1.2M</w:t>
      </w:r>
      <w:r>
        <w:t xml:space="preserve"> | Profit Margin: </w:t>
      </w:r>
      <w:r>
        <w:rPr>
          <w:b/>
        </w:rPr>
        <w:t xml:space="preserve">62.74%</w:t>
      </w:r>
      <w:r>
        <w:t xml:space="preserve"> | AOV: </w:t>
      </w:r>
      <w:r>
        <w:rPr>
          <w:b/>
        </w:rPr>
        <w:t xml:space="preserve">$59.99</w:t>
      </w:r>
      <w:r>
        <w:t xml:space="preserve"> | Total Orders: </w:t>
      </w:r>
      <w:r>
        <w:rPr>
          <w:b/>
        </w:rPr>
        <w:t xml:space="preserve">32K</w:t>
      </w:r>
      <w:r>
        <w:t xml:space="preserve"> | Conversion Rate: </w:t>
      </w:r>
      <w:r>
        <w:rPr>
          <w:b/>
        </w:rPr>
        <w:t xml:space="preserve">6.83%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Desktop drives 86.05% of orders</w:t>
      </w:r>
      <w:r>
        <w:t xml:space="preserve"> vs. mobile at 13.95% — despite mobile traffic share being much closer to even on other pages, desktop dominates actual purchases.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Direct traffic converts best (9.81%)</w:t>
      </w:r>
      <w:r>
        <w:t xml:space="preserve">, followed by Organic (9.96% desktop) — both outperform paid channels (Google 8.43%, Bing 7.85%) on desktop, while </w:t>
      </w:r>
      <w:r>
        <w:rPr>
          <w:b/>
        </w:rPr>
        <w:t xml:space="preserve">all channels convert far worse on mobile</w:t>
      </w:r>
      <w:r>
        <w:t xml:space="preserve"> (Social mobile is just 4.99%).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The Original Mr. Fuzzy accounts for ~$1.5M of revenue</w:t>
      </w:r>
      <w:r>
        <w:t xml:space="preserve"> — roughly 3–4x any other single product, making it the clear flagship product.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Orders Seasonality</w:t>
      </w:r>
      <w:r>
        <w:t xml:space="preserve"> shows a steep trough from March–April (dropping from ~20K to ~10K) and a steady climb from August through December, peaking at year-end — a strong seasonal pattern worth planning inventory/marketing around.</w:t>
      </w:r>
    </w:p>
    <w:p>
      <w:pPr>
        <w:pStyle w:val="ListParagraph"/>
        <w:numPr>
          <w:ilvl w:val="0"/>
          <w:numId w:val="2"/>
        </w:numPr>
      </w:pPr>
      <w:r>
        <w:t xml:space="preserve">A visible step-change in the Sessions &amp; Orders trend line appears around early 2014, consistent with the cross-sell launch date seen on the Cross-Selling page.</w:t>
      </w:r>
    </w:p>
    <w:p>
      <w:pPr>
        <w:pStyle w:val="Heading2"/>
      </w:pPr>
      <w:r>
        <w:t xml:space="preserve">Traffic</w:t>
      </w:r>
    </w:p>
    <w:p>
      <w:pPr>
        <w:pStyle w:val="ListParagraph"/>
        <w:numPr>
          <w:ilvl w:val="0"/>
          <w:numId w:val="3"/>
        </w:numPr>
      </w:pPr>
      <w:r>
        <w:t xml:space="preserve">Unique Visitors: </w:t>
      </w:r>
      <w:r>
        <w:rPr>
          <w:b/>
        </w:rPr>
        <w:t xml:space="preserve">394.3K</w:t>
      </w:r>
      <w:r>
        <w:t xml:space="preserve"> | Total Pageviews: </w:t>
      </w:r>
      <w:r>
        <w:rPr>
          <w:b/>
        </w:rPr>
        <w:t xml:space="preserve">1.19M</w:t>
      </w:r>
      <w:r>
        <w:t xml:space="preserve"> | Total Sessions: </w:t>
      </w:r>
      <w:r>
        <w:rPr>
          <w:b/>
        </w:rPr>
        <w:t xml:space="preserve">472.87K</w:t>
      </w:r>
      <w:r>
        <w:t xml:space="preserve"> | Avg Session Duration: </w:t>
      </w:r>
      <w:r>
        <w:rPr>
          <w:b/>
        </w:rPr>
        <w:t xml:space="preserve">3:57 min</w:t>
      </w:r>
      <w:r>
        <w:t xml:space="preserve"> | Avg Pages/Session: </w:t>
      </w:r>
      <w:r>
        <w:rPr>
          <w:b/>
        </w:rPr>
        <w:t xml:space="preserve">2.5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Bounce Rate is 44.76%</w:t>
      </w:r>
      <w:r>
        <w:t xml:space="preserve"> — flagged in red, suggesting this is viewed as a problem area; nearly half of all sessions leave after a single page.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Funnel drop-off is steep after Landing Page:</w:t>
      </w:r>
      <w:r>
        <w:t xml:space="preserve"> 100% → 55.24% (Products) → 44.45% (Product Detail) → 20.08% (Cart) → 13.64% (Shipping) → 11.01% (Billing) → 6.83% (Thank You). The </w:t>
      </w:r>
      <w:r>
        <w:rPr>
          <w:b/>
        </w:rPr>
        <w:t xml:space="preserve">biggest single drop is Product Detail → Cart (44.45% → 20.08%, a ~24-point drop)</w:t>
      </w:r>
      <w:r>
        <w:t xml:space="preserve"> — the single largest leak in the funnel.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/products</w:t>
      </w:r>
      <w:r>
        <w:t xml:space="preserve"> is the top landing page by far (0.26M), nearly double the next-highest page (</w:t>
      </w:r>
      <w:r>
        <w:rPr>
          <w:rStyle w:val="CodeChar"/>
        </w:rPr>
        <w:t xml:space="preserve">/the-original...</w:t>
      </w:r>
      <w:r>
        <w:t xml:space="preserve"> at 0.16M).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Weekly Traffic Pattern heatmap</w:t>
      </w:r>
      <w:r>
        <w:t xml:space="preserve"> shows consistent concentration of activity during mid-day hours (roughly 9am–5pm) across weekdays, with Friday and the weekend showing lighter, more uniform activity — pointing to clear peak engagement windows for scheduling promotions.</w:t>
      </w:r>
    </w:p>
    <w:p>
      <w:pPr>
        <w:pStyle w:val="ListParagraph"/>
        <w:numPr>
          <w:ilvl w:val="0"/>
          <w:numId w:val="3"/>
        </w:numPr>
      </w:pPr>
      <w:r>
        <w:t xml:space="preserve">Most sessions view only 1 page (0.21M sessions) — directly correlating with the high bounce rate.</w:t>
      </w:r>
    </w:p>
    <w:p>
      <w:pPr>
        <w:pStyle w:val="Heading2"/>
      </w:pPr>
      <w:r>
        <w:t xml:space="preserve">Customer</w:t>
      </w:r>
    </w:p>
    <w:p>
      <w:pPr>
        <w:pStyle w:val="ListParagraph"/>
        <w:numPr>
          <w:ilvl w:val="0"/>
          <w:numId w:val="4"/>
        </w:numPr>
      </w:pPr>
      <w:r>
        <w:t xml:space="preserve">Unique Customers: </w:t>
      </w:r>
      <w:r>
        <w:rPr>
          <w:b/>
        </w:rPr>
        <w:t xml:space="preserve">31.7K</w:t>
      </w:r>
      <w:r>
        <w:t xml:space="preserve"> | Repeated Customers: </w:t>
      </w:r>
      <w:r>
        <w:rPr>
          <w:b/>
        </w:rPr>
        <w:t xml:space="preserve">591</w:t>
      </w:r>
      <w:r>
        <w:t xml:space="preserve"> | </w:t>
      </w:r>
      <w:r>
        <w:rPr>
          <w:b/>
        </w:rPr>
        <w:t xml:space="preserve">Repeat Purchase Rate: only 1.86%</w:t>
      </w:r>
    </w:p>
    <w:p>
      <w:pPr>
        <w:pStyle w:val="ListParagraph"/>
        <w:numPr>
          <w:ilvl w:val="0"/>
          <w:numId w:val="4"/>
        </w:numPr>
      </w:pPr>
      <w:r>
        <w:t xml:space="preserve">Customer Lifetime Value: </w:t>
      </w:r>
      <w:r>
        <w:rPr>
          <w:b/>
        </w:rPr>
        <w:t xml:space="preserve">$61.16</w:t>
      </w:r>
      <w:r>
        <w:t xml:space="preserve"> | Refund Rate: </w:t>
      </w:r>
      <w:r>
        <w:rPr>
          <w:b/>
        </w:rPr>
        <w:t xml:space="preserve">4.32%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AOV scales strongly with customer segment:</w:t>
      </w:r>
      <w:r>
        <w:t xml:space="preserve"> High-value customers spend $98.83 AOV vs. $69.29 (Medium) vs. $49.09 (Low) — nearly 2x difference between High and Low segments.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Revenue concentration:</w:t>
      </w:r>
      <w:r>
        <w:t xml:space="preserve"> Low-segment customers make up the largest customer count (20.0K); the Revenue Distribution pie shows the Low segment still contributes 62.95% of total revenue by volume, while High-value customers (4.3K) contribute only 13.6% — meaning </w:t>
      </w:r>
      <w:r>
        <w:rPr>
          <w:b/>
        </w:rPr>
        <w:t xml:space="preserve">volume currently outweighs value</w:t>
      </w:r>
      <w:r>
        <w:t xml:space="preserve">, and growing the High-value segment represents significant AOV-driven upside.</w:t>
      </w:r>
    </w:p>
    <w:p>
      <w:pPr>
        <w:pStyle w:val="ListParagraph"/>
        <w:numPr>
          <w:ilvl w:val="0"/>
          <w:numId w:val="4"/>
        </w:numPr>
      </w:pPr>
      <w:r>
        <w:t xml:space="preserve">Repeat customers show a noticeable uptick starting around September/October, aligning with the broader year-end growth trend seen elsewhere in the dashboard.</w:t>
      </w:r>
    </w:p>
    <w:p>
      <w:pPr>
        <w:pStyle w:val="ListParagraph"/>
        <w:numPr>
          <w:ilvl w:val="0"/>
          <w:numId w:val="4"/>
        </w:numPr>
      </w:pPr>
      <w:r>
        <w:t xml:space="preserve">Customer acquisition mirrors overall channel mix: Google dominates at 66.02%.</w:t>
      </w:r>
    </w:p>
    <w:p>
      <w:pPr>
        <w:pStyle w:val="Heading2"/>
      </w:pPr>
      <w:r>
        <w:t xml:space="preserve">Product</w:t>
      </w:r>
    </w:p>
    <w:p>
      <w:pPr>
        <w:pStyle w:val="ListParagraph"/>
        <w:numPr>
          <w:ilvl w:val="0"/>
          <w:numId w:val="5"/>
        </w:numPr>
      </w:pPr>
      <w:r>
        <w:t xml:space="preserve">Total Revenue across products: </w:t>
      </w:r>
      <w:r>
        <w:rPr>
          <w:b/>
        </w:rPr>
        <w:t xml:space="preserve">$1.94M</w:t>
      </w:r>
      <w:r>
        <w:t xml:space="preserve"> | Total Orders: </w:t>
      </w:r>
      <w:r>
        <w:rPr>
          <w:b/>
        </w:rPr>
        <w:t xml:space="preserve">32,313</w:t>
      </w:r>
      <w:r>
        <w:t xml:space="preserve"> | Blended Refund Rate: </w:t>
      </w:r>
      <w:r>
        <w:rPr>
          <w:b/>
        </w:rPr>
        <w:t xml:space="preserve">4.32%</w:t>
      </w:r>
      <w:r>
        <w:t xml:space="preserve"> | Blended Profit Margin: </w:t>
      </w:r>
      <w:r>
        <w:rPr>
          <w:b/>
        </w:rPr>
        <w:t xml:space="preserve">62.74%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The Original Mr. Fuzzy dominates volume and revenue:</w:t>
      </w:r>
      <w:r>
        <w:t xml:space="preserve"> 24,226 orders / $1.46M revenue — roughly 5x the order volume of the next product (Birthday Sugar Panda, 4,985 orders).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Margins are inversely related to volume:</w:t>
      </w:r>
      <w:r>
        <w:t xml:space="preserve"> The Birthday Sugar Panda has the highest profit margin (66.16%) despite the lowest order count, while the flagship Original Mr. Fuzzy has the lowest margin (62.03%) despite driving the most revenue — suggesting a pricing/cost opportunity on the top-selling product.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Refund rates vary meaningfully by product:</w:t>
      </w:r>
      <w:r>
        <w:t xml:space="preserve"> Birthday Sugar Panda has the highest refund rate (8.24%) — more than double The Forever Love Bear's rate (3.61%) — worth investigating product-specific quality or expectation-setting issues.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Top cross-sell pairing:</w:t>
      </w:r>
      <w:r>
        <w:t xml:space="preserve"> The Original Mr. Fuzzy + Hudson River Mini Bear — sold together 3,126 times, generating $64,083 in extra profit, with a 13.10% attachment rate. The highest attachment rate overall is Birthday Sugar Panda + Hudson River Mini Bear at </w:t>
      </w:r>
      <w:r>
        <w:rPr>
          <w:b/>
        </w:rPr>
        <w:t xml:space="preserve">20.86%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All products show the same seasonal dip (Jan–April) and year-end climb pattern seen in the Overview page, confirming the seasonality is store-wide, not product-specific.</w:t>
      </w:r>
    </w:p>
    <w:p>
      <w:pPr>
        <w:pStyle w:val="Heading2"/>
      </w:pPr>
      <w:r>
        <w:t xml:space="preserve">Cross-Selling</w:t>
      </w:r>
    </w:p>
    <w:p>
      <w:pPr>
        <w:pStyle w:val="ListParagraph"/>
        <w:numPr>
          <w:ilvl w:val="0"/>
          <w:numId w:val="6"/>
        </w:numPr>
      </w:pPr>
      <w:r>
        <w:t xml:space="preserve">Cross-selling launched </w:t>
      </w:r>
      <w:r>
        <w:rPr>
          <w:b/>
        </w:rPr>
        <w:t xml:space="preserve">September 25, 2013</w:t>
      </w:r>
      <w:r>
        <w:t xml:space="preserve"> — the before/after split point used throughout this page.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Avg Orders per Year nearly tripled:</w:t>
      </w:r>
      <w:r>
        <w:t xml:space="preserve"> 5K (before) → 17K (after cross-sell).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AOV increased from $51 to $63</w:t>
      </w:r>
      <w:r>
        <w:t xml:space="preserve"> (before vs. after) — a ~24% lift in average order value.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Cross-Selling Summary table (the real comparison):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w="1170" w:type="dxa"/>
            <w:shd w:val="clear" w:color="auto" w:fill="F2F2F2"/>
          </w:tcPr>
          <w:p>
            <w:pPr/>
            <w:r>
              <w:t xml:space="preserve">Period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AOV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Profit/Order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Orders/Day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Orders/Year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Revenue/Year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Total Revenue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Total Profit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Before Cross-sell</w:t>
            </w:r>
          </w:p>
        </w:tc>
        <w:tc>
          <w:tcPr>
            <w:tcW w:w="1170" w:type="dxa"/>
          </w:tcPr>
          <w:p>
            <w:pPr/>
            <w:r>
              <w:t xml:space="preserve">$51.09</w:t>
            </w:r>
          </w:p>
        </w:tc>
        <w:tc>
          <w:tcPr>
            <w:tcW w:w="1170" w:type="dxa"/>
          </w:tcPr>
          <w:p>
            <w:pPr/>
            <w:r>
              <w:t xml:space="preserve">$31.27</w:t>
            </w:r>
          </w:p>
        </w:tc>
        <w:tc>
          <w:tcPr>
            <w:tcW w:w="1170" w:type="dxa"/>
          </w:tcPr>
          <w:p>
            <w:pPr/>
            <w:r>
              <w:t xml:space="preserve">13.15</w:t>
            </w:r>
          </w:p>
        </w:tc>
        <w:tc>
          <w:tcPr>
            <w:tcW w:w="1170" w:type="dxa"/>
          </w:tcPr>
          <w:p>
            <w:pPr/>
            <w:r>
              <w:t xml:space="preserve">4,798</w:t>
            </w:r>
          </w:p>
        </w:tc>
        <w:tc>
          <w:tcPr>
            <w:tcW w:w="1170" w:type="dxa"/>
          </w:tcPr>
          <w:p>
            <w:pPr/>
            <w:r>
              <w:t xml:space="preserve">$245,146.52</w:t>
            </w:r>
          </w:p>
        </w:tc>
        <w:tc>
          <w:tcPr>
            <w:tcW w:w="1170" w:type="dxa"/>
          </w:tcPr>
          <w:p>
            <w:pPr/>
            <w:r>
              <w:t xml:space="preserve">$372,757.04</w:t>
            </w:r>
          </w:p>
        </w:tc>
        <w:tc>
          <w:tcPr>
            <w:tcW w:w="1170" w:type="dxa"/>
          </w:tcPr>
          <w:p>
            <w:pPr/>
            <w:r>
              <w:t xml:space="preserve">$228,149.00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After Cross-sell</w:t>
            </w:r>
          </w:p>
        </w:tc>
        <w:tc>
          <w:tcPr>
            <w:tcW w:w="1170" w:type="dxa"/>
          </w:tcPr>
          <w:p>
            <w:pPr/>
            <w:r>
              <w:t xml:space="preserve">$62.59</w:t>
            </w:r>
          </w:p>
        </w:tc>
        <w:tc>
          <w:tcPr>
            <w:tcW w:w="1170" w:type="dxa"/>
          </w:tcPr>
          <w:p>
            <w:pPr/>
            <w:r>
              <w:t xml:space="preserve">$39.49</w:t>
            </w:r>
          </w:p>
        </w:tc>
        <w:tc>
          <w:tcPr>
            <w:tcW w:w="1170" w:type="dxa"/>
          </w:tcPr>
          <w:p>
            <w:pPr/>
            <w:r>
              <w:t xml:space="preserve">46.24</w:t>
            </w:r>
          </w:p>
        </w:tc>
        <w:tc>
          <w:tcPr>
            <w:tcW w:w="1170" w:type="dxa"/>
          </w:tcPr>
          <w:p>
            <w:pPr/>
            <w:r>
              <w:t xml:space="preserve">16,878</w:t>
            </w:r>
          </w:p>
        </w:tc>
        <w:tc>
          <w:tcPr>
            <w:tcW w:w="1170" w:type="dxa"/>
          </w:tcPr>
          <w:p>
            <w:pPr/>
            <w:r>
              <w:t xml:space="preserve">$1,056,376.60</w:t>
            </w:r>
          </w:p>
        </w:tc>
        <w:tc>
          <w:tcPr>
            <w:tcW w:w="1170" w:type="dxa"/>
          </w:tcPr>
          <w:p>
            <w:pPr/>
            <w:r>
              <w:t xml:space="preserve">$1,565,752.71</w:t>
            </w:r>
          </w:p>
        </w:tc>
        <w:tc>
          <w:tcPr>
            <w:tcW w:w="1170" w:type="dxa"/>
          </w:tcPr>
          <w:p>
            <w:pPr/>
            <w:r>
              <w:t xml:space="preserve">$987,990.50</w:t>
            </w:r>
          </w:p>
        </w:tc>
      </w:tr>
    </w:tbl>
    <w:p>
      <w:pPr>
        <w:pStyle w:val="ListParagraph"/>
        <w:numPr>
          <w:ilvl w:val="0"/>
          <w:numId w:val="7"/>
        </w:numPr>
      </w:pPr>
      <w:r>
        <w:rPr>
          <w:b/>
        </w:rPr>
        <w:t xml:space="preserve">Critical nuance — the Organic Growth vs. Cross-Selling Effect charts separate the two:</w:t>
      </w:r>
      <w:r>
        <w:t xml:space="preserve"> the Organic Growth chart shows a wide confidence band post-launch (high uncertainty in what growth would have happened without cross-selling), while the actual observed order volume (Cross-Selling Effect chart) climbs well above that organic trend band from early 2014 onward — this is the strongest evidence in the whole dashboard that cross-selling drove incremental growth beyond what organic trends alone would predict.</w:t>
      </w:r>
    </w:p>
    <w:p>
      <w:pPr>
        <w:pStyle w:val="Heading2"/>
      </w:pPr>
      <w:r>
        <w:t xml:space="preserve">A/B Testing</w:t>
      </w:r>
    </w:p>
    <w:p>
      <w:pPr/>
      <w:r>
        <w:t xml:space="preserve">6 total experiments run, with mixed results — only 2 of 6 tested variants were clear winners: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Control → Variant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CVR Lift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/billing → /billing-2</w:t>
            </w:r>
          </w:p>
        </w:tc>
        <w:tc>
          <w:tcPr>
            <w:tcW w:w="4680" w:type="dxa"/>
          </w:tcPr>
          <w:p>
            <w:pPr/>
            <w:r>
              <w:t xml:space="preserve">+37.03% (winner)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/home → /lander-5</w:t>
            </w:r>
          </w:p>
        </w:tc>
        <w:tc>
          <w:tcPr>
            <w:tcW w:w="4680" w:type="dxa"/>
          </w:tcPr>
          <w:p>
            <w:pPr/>
            <w:r>
              <w:t xml:space="preserve">+29.55% (winner)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/home → /lander-2</w:t>
            </w:r>
          </w:p>
        </w:tc>
        <w:tc>
          <w:tcPr>
            <w:tcW w:w="4680" w:type="dxa"/>
          </w:tcPr>
          <w:p>
            <w:pPr/>
            <w:r>
              <w:t xml:space="preserve">+2.39%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/home → /lander-4</w:t>
            </w:r>
          </w:p>
        </w:tc>
        <w:tc>
          <w:tcPr>
            <w:tcW w:w="4680" w:type="dxa"/>
          </w:tcPr>
          <w:p>
            <w:pPr/>
            <w:r>
              <w:t xml:space="preserve">−5.42%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/home → /lander-1</w:t>
            </w:r>
          </w:p>
        </w:tc>
        <w:tc>
          <w:tcPr>
            <w:tcW w:w="4680" w:type="dxa"/>
          </w:tcPr>
          <w:p>
            <w:pPr/>
            <w:r>
              <w:t xml:space="preserve">−17.60%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/home → /lander-3</w:t>
            </w:r>
          </w:p>
        </w:tc>
        <w:tc>
          <w:tcPr>
            <w:tcW w:w="4680" w:type="dxa"/>
          </w:tcPr>
          <w:p>
            <w:pPr/>
            <w:r>
              <w:t xml:space="preserve">−56.09% (significant loss)</w:t>
            </w:r>
          </w:p>
        </w:tc>
      </w:tr>
    </w:tbl>
    <w:p>
      <w:pPr>
        <w:pStyle w:val="ListParagraph"/>
        <w:numPr>
          <w:ilvl w:val="0"/>
          <w:numId w:val="8"/>
        </w:numPr>
      </w:pPr>
      <w:r>
        <w:rPr>
          <w:rStyle w:val="CodeChar"/>
          <w:b/>
        </w:rPr>
        <w:t xml:space="preserve">/billing-2</w:t>
      </w:r>
      <w:r>
        <w:rPr>
          <w:b/>
        </w:rPr>
        <w:t xml:space="preserve"> is the standout winner:</w:t>
      </w:r>
      <w:r>
        <w:t xml:space="preserve"> Thank You completion jumped from 45.29% (control) to 62.04% (variant) — a +37% relative lift purely from a billing-page redesign.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  <w:b/>
        </w:rPr>
        <w:t xml:space="preserve">/lander-5</w:t>
      </w:r>
      <w:r>
        <w:rPr>
          <w:b/>
        </w:rPr>
        <w:t xml:space="preserve"> is the best-performing landing page tested:</w:t>
      </w:r>
      <w:r>
        <w:t xml:space="preserve"> full-funnel conversion improved from 7.9% (home) to 10.2% (lander-5) — a +29.6% uplift, with every funnel stage (Products, Product Detail, Cart, Shipping, Billing) showing higher completion than the control.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  <w:b/>
        </w:rPr>
        <w:t xml:space="preserve">/lander-3</w:t>
      </w:r>
      <w:r>
        <w:rPr>
          <w:b/>
        </w:rPr>
        <w:t xml:space="preserve"> was a significant failure (−56%)</w:t>
      </w:r>
      <w:r>
        <w:t xml:space="preserve"> — worth flagging as a "what not to do" data point, useful for showing analytical rigor (not every test wins).</w:t>
      </w:r>
    </w:p>
    <w:p>
      <w:pPr>
        <w:pStyle w:val="ListParagraph"/>
        <w:numPr>
          <w:ilvl w:val="0"/>
          <w:numId w:val="8"/>
        </w:numPr>
      </w:pPr>
      <w:r>
        <w:t xml:space="preserve">The Conversion Rate over Time chart shows the overall site CVR climbing from ~2% (mid-2012) to over 8% (early 2015), with visible inflection points aligning with test launch/end markers — reinforcing that iterative testing, not just one change, drove the long-term lift.</w:t>
      </w:r>
    </w:p>
    <w:p>
      <w:pPr>
        <w:pStyle w:val="Heading2"/>
      </w:pPr>
      <w:r>
        <w:t xml:space="preserve">Channel &amp; Device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Google is overwhelmingly dominant:</w:t>
      </w:r>
      <w:r>
        <w:t xml:space="preserve"> 66.02% of orders and $1.28M in revenue — more than 4x the next channel (Bing at $0.27M).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Desktop converts far better than mobile across every channel</w:t>
      </w:r>
      <w:r>
        <w:t xml:space="preserve"> — e.g., Organic: 9.96% (desktop) vs. 2.94% (mobile); Direct: 9.81% vs. 3.44%; Google: 8.43% vs. 3.17%. This mobile conversion gap is consistent and large across all channels, not isolated to one.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AOV is inversely related to channel size:</w:t>
      </w:r>
      <w:r>
        <w:t xml:space="preserve"> Social has the smallest order volume but the highest AOV ($64.90), while Bing — a larger channel — has the lowest AOV ($59.45). Counterintuitively, the biggest channel (Google) isn't the top AOV channel, suggesting smaller/niche channels may attract higher-intent, higher-spend customers.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Channel × Device table highlights where the real money is:</w:t>
      </w:r>
      <w:r>
        <w:t xml:space="preserve"> Desktop + Google is the single strongest combination (18,137 orders, $1,082,818.66 revenue, 8.43% CVR) — this one combination alone accounts for the majority of total site revenue.</w:t>
      </w:r>
    </w:p>
    <w:p>
      <w:pPr>
        <w:pStyle w:val="ListParagraph"/>
        <w:numPr>
          <w:ilvl w:val="0"/>
          <w:numId w:val="9"/>
        </w:numPr>
      </w:pPr>
      <w:r>
        <w:t xml:space="preserve">Both device and channel trend charts show the same acceleration pattern starting in 2014, confirming growth was broad-based across channels rather than driven by one new source.</w:t>
      </w:r>
    </w:p>
    <w:p>
      <w:pPr>
        <w:pStyle w:val="Heading2"/>
      </w:pPr>
      <w:r>
        <w:t xml:space="preserve">Headline Takeaway</w:t>
      </w:r>
    </w:p>
    <w:p>
      <w:pPr/>
      <w:r>
        <w:t xml:space="preserve">Three separate pages (Overview, Traffic, Channel &amp; Device) all independently surface the same mobile conversion gap — this cross-page consistency is a strong, well-supported insight for a summary document, more credible than a single-page observation.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Maven Fuzzy Factory — Dashboard Insights</dc:title>
  <dc:description>Claude Docs node/05d1b754-ea8d@1 docx-w6</dc:description>
  <cp:revision>1</cp:revision>
</cp:coreProperties>
</file>