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8a6e2a"/>
          <w:sz w:val="36"/>
          <w:szCs w:val="36"/>
        </w:rPr>
        <w:t xml:space="preserve">مصر ستيل للأثاث الاستانلس</w:t>
      </w:r>
      <w:r>
        <w:rPr>
          <w:rFonts w:ascii="Arial" w:cs="Arial" w:eastAsia="Arial" w:hAnsi="Arial"/>
          <w:b/>
          <w:bCs/>
          <w:color w:val="8a9199"/>
          <w:sz w:val="28"/>
          <w:szCs w:val="28"/>
        </w:rPr>
        <w:t xml:space="preserve">   MISR STEEL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0f0f"/>
          <w:sz w:val="30"/>
          <w:szCs w:val="30"/>
        </w:rPr>
        <w:t xml:space="preserve">عقد شراكة مسوّق بعمولة</w:t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Affiliate &amp; Commission Partnership Agreement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199"/>
          <w:sz w:val="18"/>
          <w:szCs w:val="18"/>
        </w:rPr>
        <w:t xml:space="preserve">رقم العقد: ____________  |  Agreement No: ____________  |  التاريخ / Date: ____________</w:t>
      </w:r>
    </w:p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أطراف الاتفاقية   |   Agreement Parties</w:t>
      </w:r>
    </w:p>
    <w:p>
      <w:pPr>
        <w:pBdr>
          <w:bottom w:val="single" w:color="8a9199" w:sz="2"/>
        </w:pBdr>
        <w:spacing w:after="80" w:before="28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الطرف الأول — الشركة   |   First Party — Company</w:t>
      </w:r>
    </w:p>
    <w:tbl>
      <w:tblPr>
        <w:tblW w:type="pct" w:w="100%"/>
        <w:tblBorders>
          <w:top w:val="single" w:color="8a9199" w:sz="2"/>
          <w:left w:val="single" w:color="8a9199" w:sz="2"/>
          <w:bottom w:val="single" w:color="8a9199" w:sz="2"/>
          <w:right w:val="single" w:color="8a9199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الاسم التجاري  |  Trade Name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مصر ستيل للأثاث الاستانلس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MISR STEEL Furniture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العنوان  |  Address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القاهرة، جمهورية مصر العربية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Cairo, Arab Republic of Egypt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ممثل الشركة  |  Representative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</w:tbl>
    <w:p>
      <w:pPr>
        <w:spacing w:before="120"/>
      </w:pPr>
    </w:p>
    <w:p>
      <w:pPr>
        <w:pBdr>
          <w:bottom w:val="single" w:color="8a9199" w:sz="2"/>
        </w:pBdr>
        <w:spacing w:after="80" w:before="28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الطرف الثاني — المسوّق   |   Second Party — Affiliate</w:t>
      </w:r>
    </w:p>
    <w:tbl>
      <w:tblPr>
        <w:tblW w:type="pct" w:w="100%"/>
        <w:tblBorders>
          <w:top w:val="single" w:color="8a9199" w:sz="2"/>
          <w:left w:val="single" w:color="8a9199" w:sz="2"/>
          <w:bottom w:val="single" w:color="8a9199" w:sz="2"/>
          <w:right w:val="single" w:color="8a9199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الاسم الكامل  |  Full Name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المسمى الوظيفي  |  Job Title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الشركة (إن وجدت)  |  Company (if any)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الدولة  |  Country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رقم الواتساب  |  WhatsApp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البريد الإلكتروني  |  Email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  <w:tr>
        <w:tc>
          <w:tcPr>
            <w:tcW w:type="pct" w:w="25%"/>
            <w:shd w:color="f0eeea" w:val="solid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b/>
                <w:bCs/>
                <w:color w:val="8a6e2a"/>
                <w:sz w:val="18"/>
                <w:szCs w:val="18"/>
              </w:rPr>
              <w:t xml:space="preserve">كود التتبع الخاص  |  Referral Code</w:t>
            </w:r>
          </w:p>
        </w:tc>
        <w:tc>
          <w:tcPr>
            <w:tcW w:type="pct" w:w="75%"/>
          </w:tcPr>
          <w:p>
            <w:pPr>
              <w:spacing w:after="80" w:before="80"/>
              <w:ind w:left="12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____________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____________</w:t>
            </w:r>
          </w:p>
        </w:tc>
      </w:tr>
    </w:tbl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موضوع الاتفاقية   |   Purpose of Agreement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تُمنَح بموجب هذه الاتفاقية صلاحية غير حصرية للمسوّق لتسويق منتجات مصر ستيل وإحالة العملاء مقابل عمولة محددة على كل أوردر مؤكد يتم بكود المسوّق.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This agreement grants the Affiliate a non-exclusive right to market MISR STEEL products and refer clients in exchange for a defined commission on each confirmed order placed through the Affiliate's code.</w:t>
      </w:r>
    </w:p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هيكل العمولات   |   Commission Structure</w:t>
      </w:r>
    </w:p>
    <w:tbl>
      <w:tblPr>
        <w:tblW w:type="pct" w:w="100%"/>
        <w:tblBorders>
          <w:top w:val="single" w:color="8a6e2a" w:sz="4"/>
          <w:left w:val="single" w:color="8a9199" w:sz="2"/>
          <w:bottom w:val="single" w:color="8a6e2a" w:sz="4"/>
          <w:right w:val="single" w:color="8a9199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0f0f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المستوى  |  Tier</w:t>
            </w:r>
          </w:p>
        </w:tc>
        <w:tc>
          <w:tcPr>
            <w:shd w:color="0f0f0f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حجم الأوردر  |  Order Size</w:t>
            </w:r>
          </w:p>
        </w:tc>
        <w:tc>
          <w:tcPr>
            <w:shd w:color="0f0f0f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نسبة العمولة  |  Rate</w:t>
            </w:r>
          </w:p>
        </w:tc>
        <w:tc>
          <w:tcPr>
            <w:shd w:color="0f0f0f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مثال  |  Example</w:t>
            </w:r>
          </w:p>
        </w:tc>
      </w:tr>
      <w:tr>
        <w:tc>
          <w:tcPr>
            <w:shd w:color="ffffff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مبدئي  |  Starter</w:t>
            </w:r>
          </w:p>
        </w:tc>
        <w:tc>
          <w:tcPr>
            <w:shd w:color="ffffff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أقل من $5,000  |  Under $5,000</w:t>
            </w:r>
          </w:p>
        </w:tc>
        <w:tc>
          <w:tcPr>
            <w:shd w:color="ffffff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3%</w:t>
            </w:r>
          </w:p>
        </w:tc>
        <w:tc>
          <w:tcPr>
            <w:shd w:color="ffffff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$5,000 → $150</w:t>
            </w:r>
          </w:p>
        </w:tc>
      </w:tr>
      <w:tr>
        <w:tc>
          <w:tcPr>
            <w:shd w:color="f0eeea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محترف  |  Pro</w:t>
            </w:r>
          </w:p>
        </w:tc>
        <w:tc>
          <w:tcPr>
            <w:shd w:color="f0eeea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$5,000 – $20,000</w:t>
            </w:r>
          </w:p>
        </w:tc>
        <w:tc>
          <w:tcPr>
            <w:shd w:color="f0eeea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5%</w:t>
            </w:r>
          </w:p>
        </w:tc>
        <w:tc>
          <w:tcPr>
            <w:shd w:color="f0eeea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$10,000 → $500</w:t>
            </w:r>
          </w:p>
        </w:tc>
      </w:tr>
      <w:tr>
        <w:tc>
          <w:tcPr>
            <w:shd w:color="ffffff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بريميوم  |  Premium</w:t>
            </w:r>
          </w:p>
        </w:tc>
        <w:tc>
          <w:tcPr>
            <w:shd w:color="ffffff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فوق $20,000  |  Above $20,000</w:t>
            </w:r>
          </w:p>
        </w:tc>
        <w:tc>
          <w:tcPr>
            <w:shd w:color="ffffff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7%</w:t>
            </w:r>
          </w:p>
        </w:tc>
        <w:tc>
          <w:tcPr>
            <w:shd w:color="ffffff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$30,000 → $2,100</w:t>
            </w:r>
          </w:p>
        </w:tc>
      </w:tr>
      <w:tr>
        <w:tc>
          <w:tcPr>
            <w:shd w:color="f0eeea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VIP</w:t>
            </w:r>
          </w:p>
        </w:tc>
        <w:tc>
          <w:tcPr>
            <w:shd w:color="f0eeea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فوق $50,000  |  Above $50,000</w:t>
            </w:r>
          </w:p>
        </w:tc>
        <w:tc>
          <w:tcPr>
            <w:shd w:color="f0eeea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يُفاوَض  |  Negotiable</w:t>
            </w:r>
          </w:p>
        </w:tc>
        <w:tc>
          <w:tcPr>
            <w:shd w:color="f0eeea" w:val="solid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بالاتفاق  |  By agreement</w:t>
            </w:r>
          </w:p>
        </w:tc>
      </w:tr>
    </w:tbl>
    <w:p>
      <w:pPr>
        <w:spacing w:before="120"/>
      </w:pP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العمولة تُحتسب على القيمة الصافية للأوردر بعد الخصومات وقبل الشحن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Commission calculated on net order value after discounts and before shipping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لا تُدفَع العمولة إلا بعد تأكيد الأوردر وسداد المشتري للمقدم (50%)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Commission paid only after order confirmation and buyer's 50% deposit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في حالة الإلغاء بعد صرف العمولة تُستردّ نسبة 100% من العمولة المصروفة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If order is cancelled after commission is paid, 100% of commission is recovered</w:t>
      </w:r>
    </w:p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صرف العمولات   |   Commission Payouts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مدة الصرف: خلال 7 أيام عمل من تأكيد استلام دفعة المشتري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Payout timeline: within 7 working days of buyer payment confirmation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الحد الأدنى للصرف: $50 (تتراكم المبالغ الأقل)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Minimum payout: $50 (smaller amounts accumulate)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طرق الصرف: تحويل بنكي — Paymob — InstaPay — Vodafone Cash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Payout methods: Bank transfer — Paymob — InstaPay — Vodafone Cash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يتحمل المسوّق أي رسوم تحويل بنكي دولي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Affiliate bears any international bank transfer fees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تُرسَل كشوفات العمولة شهرياً على الإيميل والواتساب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Commission statements sent monthly via email and WhatsApp</w:t>
      </w:r>
    </w:p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التزامات الأطراف   |   Parties' Obligations</w:t>
      </w:r>
    </w:p>
    <w:p>
      <w:pPr>
        <w:pBdr>
          <w:bottom w:val="single" w:color="8a9199" w:sz="2"/>
        </w:pBdr>
        <w:spacing w:after="80" w:before="28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التزامات المسوّق   |   Affiliate Obligations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استخدام كود التتبع الخاص به في كل إحالة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Use personal referral code in every client referral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عدم تقديم أي وعود أو ضمانات للعملاء خارج ما تقدمه مصر ستيل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Not making any promises to clients beyond what MISR STEEL offers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المحافظة على سمعة مصر ستيل في جميع تعاملاته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Maintaining MISR STEEL's reputation in all dealings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عدم التسويق بأسعار مغايرة للأسعار الرسمية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Not marketing at prices different from official pricing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إبلاغ مصر ستيل فوراً بأي شكاوى من العملاء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Immediately notifying MISR STEEL of any client complaints</w:t>
      </w:r>
    </w:p>
    <w:p>
      <w:pPr>
        <w:spacing w:before="120"/>
      </w:pPr>
    </w:p>
    <w:p>
      <w:pPr>
        <w:pBdr>
          <w:bottom w:val="single" w:color="8a9199" w:sz="2"/>
        </w:pBdr>
        <w:spacing w:after="80" w:before="28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التزامات الشركة   |   Company Obligations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توفير مواد تسويقية ومعلومات دقيقة عن المنتجات للمسوّق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Providing marketing materials and accurate product info to the Affiliate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صرف العمولات في المواعيد المحددة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Paying commissions on the agreed schedule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توفير لوحة تحكم لمتابعة الأوردرات والعمولات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Providing a dashboard to track orders and commissions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إخطار المسوّق بأي تغيير في الأسعار قبل 7 أيام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Notifying Affiliate of any price changes at least 7 days in advance</w:t>
      </w:r>
    </w:p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السرية وعدم المنافسة   |   Confidentiality &amp; Non-Competition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يلتزم المسوّق بعدم إفشاء أسعار المصنع أو هوامش الربح لأي طرف ثالث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Affiliate shall not disclose factory prices or profit margins to any third party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لا يجوز للمسوّق العمل كمسوّق لأي منافس مباشر خلال مدة الاتفاقية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Affiliate shall not work as marketer for any direct competitor during agreement term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تظل بنود السرية سارية لمدة سنتين بعد انتهاء الاتفاقية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Confidentiality clauses remain effective for 2 years after agreement termination</w:t>
      </w:r>
    </w:p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مدة الاتفاقية والإنهاء   |   Agreement Term &amp; Termination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مدة الاتفاقية: سنة واحدة قابلة للتجديد التلقائي ما لم يُخطَر أي طرف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Agreement term: one year, auto-renewable unless either party gives notice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يحق لأي طرف إنهاء الاتفاقية بإشعار خطي 30 يوماً مسبقاً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Either party may terminate with 30 days written notice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الإنهاء الفوري في حالة: الغش — التزوير — الإساءة لسمعة الشركة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Immediate termination for: fraud — forgery — damaging company reputation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تُصرف العمولات المستحقة قبل الإنهاء خلال 14 يوم من تاريخ الإنهاء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Accrued commissions before termination paid within 14 days of termination date</w:t>
      </w:r>
    </w:p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القانون الحاكم والنزاعات   |   Governing Law &amp; Disputes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تخضع هذه الاتفاقية للقانون المصري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This agreement is governed by Egyptian law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يُلجأ أولاً للتفاوض الودي لحل أي نزاع خلال 30 يوم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Amicable negotiation shall first be attempted within 30 days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• عند تعذّر التسوية يُحال النزاع لمحاكم القاهرة الابتدائية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If unsettled, disputes referred to Cairo Primary Courts</w:t>
      </w:r>
    </w:p>
    <w:p>
      <w:pPr>
        <w:pBdr>
          <w:bottom w:val="single" w:color="8a6e2a" w:sz="6"/>
        </w:pBdr>
        <w:spacing w:after="200" w:before="200"/>
      </w:pPr>
    </w:p>
    <w:p>
      <w:pPr>
        <w:shd w:color="fafaf7" w:val="solid"/>
        <w:spacing w:after="120" w:before="360"/>
      </w:pPr>
      <w:r>
        <w:rPr>
          <w:rFonts w:ascii="Arial" w:cs="Arial" w:eastAsia="Arial" w:hAnsi="Arial"/>
          <w:b/>
          <w:bCs/>
          <w:color w:val="8a6e2a"/>
          <w:sz w:val="26"/>
          <w:szCs w:val="26"/>
        </w:rPr>
        <w:t xml:space="preserve">التوقيعات   |   Signatures</w:t>
      </w:r>
    </w:p>
    <w:p>
      <w:pPr>
        <w:spacing w:before="120"/>
      </w:pPr>
    </w:p>
    <w:p>
      <w:pPr>
        <w:spacing w:after="80" w:before="80"/>
        <w:ind w:left="36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بالتوقيع أدناه، يُقرّ الطرفان بقراءة وفهم والموافقة الكاملة على جميع بنود هذه الاتفاقية.</w:t>
      </w:r>
      <w:r>
        <w:rPr>
          <w:rFonts w:ascii="Arial" w:cs="Arial" w:eastAsia="Arial" w:hAnsi="Arial"/>
          <w:color w:val="5a5a5a"/>
          <w:sz w:val="18"/>
          <w:szCs w:val="18"/>
        </w:rPr>
        <w:t xml:space="preserve">  |  By signing below, both parties confirm full understanding and agreement to all terms of this agreement.</w:t>
      </w:r>
    </w:p>
    <w:p>
      <w:pPr>
        <w:spacing w:before="2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الطرف الأول — الشركة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First Party — Company</w:t>
            </w:r>
          </w:p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الطرف الثاني — المسوّق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Second Party — Affiliate</w:t>
            </w:r>
          </w:p>
        </w:tc>
      </w:tr>
    </w:tbl>
    <w:p>
      <w:pPr>
        <w:spacing w:before="1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الاسم: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Name: ____________</w:t>
            </w:r>
          </w:p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الاسم: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Name: ____________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المنصب: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Title: ____________</w:t>
            </w:r>
          </w:p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المسمى: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Title: ____________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التوقيع: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Signature: ____________</w:t>
            </w:r>
          </w:p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التوقيع: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Signature: ____________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التاريخ: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Date: ____________</w:t>
            </w:r>
          </w:p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التاريخ: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Date: ____________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الختم: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Stamp: ____________</w:t>
            </w:r>
          </w:p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8%"/>
            <w:tcBorders>
              <w:top w:val="none"/>
              <w:left w:val="none"/>
              <w:bottom w:val="single" w:color="8a6e2a" w:sz="4"/>
              <w:right w:val="none"/>
            </w:tcBorders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الختم: ____________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Stamp: ____________</w:t>
            </w:r>
          </w:p>
        </w:tc>
      </w:tr>
    </w:tbl>
    <w:p>
      <w:pPr>
        <w:pBdr>
          <w:bottom w:val="single" w:color="8a6e2a" w:sz="6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a9199"/>
          <w:sz w:val="16"/>
          <w:szCs w:val="16"/>
        </w:rPr>
        <w:t xml:space="preserve">هذه الاتفاقية سرية ونُسختان معتمدتان، بحوزة كل طرف نسخة  |  This agreement is confidential and in two certified copies.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a6e2a" w:sz="2"/>
      </w:pBdr>
      <w:jc w:val="center"/>
    </w:pPr>
    <w:r>
      <w:rPr>
        <w:rFonts w:ascii="Arial" w:cs="Arial" w:eastAsia="Arial" w:hAnsi="Arial"/>
        <w:color w:val="8a9199"/>
        <w:sz w:val="16"/>
        <w:szCs w:val="16"/>
      </w:rPr>
      <w:t xml:space="preserve">الصفحة  </w:t>
    </w:r>
    <w:r>
      <w:rPr>
        <w:rFonts w:ascii="Arial" w:cs="Arial" w:eastAsia="Arial" w:hAnsi="Arial"/>
        <w:color w:val="8a6e2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199"/>
        <w:sz w:val="16"/>
        <w:szCs w:val="16"/>
      </w:rPr>
      <w:t xml:space="preserve">  |  عقد سري — Confidential Agreement  |  مصر ستيل — Cairo, Egypt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6e2a" w:sz="2"/>
      </w:pBdr>
      <w:jc w:val="center"/>
    </w:pPr>
    <w:r>
      <w:rPr>
        <w:rFonts w:ascii="Arial" w:cs="Arial" w:eastAsia="Arial" w:hAnsi="Arial"/>
        <w:color w:val="8a9199"/>
        <w:sz w:val="16"/>
        <w:szCs w:val="16"/>
      </w:rPr>
      <w:t xml:space="preserve">مصر ستيل — MISR STEEL  |  عقد شراكة مسوّق بعمولة — Affiliate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عقد شراكة مسوّق — مصر ستيل</dc:title>
  <dc:creator>MISR STEEL</dc:creator>
  <cp:lastModifiedBy>Un-named</cp:lastModifiedBy>
  <cp:revision>1</cp:revision>
  <dcterms:created xsi:type="dcterms:W3CDTF">2026-04-09T04:21:43.993Z</dcterms:created>
  <dcterms:modified xsi:type="dcterms:W3CDTF">2026-04-09T04:21:43.993Z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