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</w:pPr>
    </w:p>
    <w:p>
      <w:pPr>
        <w:spacing w:after="120" w:before="0"/>
      </w:pPr>
    </w:p>
    <w:p>
      <w:pPr>
        <w:spacing w:after="120" w:before="0"/>
      </w:pPr>
    </w:p>
    <w:p>
      <w:pPr>
        <w:spacing w:after="80" w:before="0"/>
        <w:jc w:val="center"/>
      </w:pPr>
      <w:r>
        <w:rPr>
          <w:b/>
          <w:i w:val="0"/>
          <w:color w:val="047954"/>
          <w:sz w:val="56"/>
        </w:rPr>
        <w:t>Real-Time Sign Language Recognition</w:t>
      </w:r>
    </w:p>
    <w:p>
      <w:pPr>
        <w:spacing w:after="480" w:before="0"/>
        <w:jc w:val="center"/>
      </w:pPr>
      <w:r>
        <w:rPr>
          <w:b w:val="0"/>
          <w:i w:val="0"/>
          <w:color w:val="336EA8"/>
          <w:sz w:val="28"/>
        </w:rPr>
        <w:t>American Sign Language Fingerspelling Recognition from Hand Landmarks</w:t>
      </w:r>
    </w:p>
    <w:p>
      <w:pPr>
        <w:spacing w:after="80" w:before="0"/>
        <w:jc w:val="center"/>
      </w:pPr>
      <w:r>
        <w:rPr>
          <w:b/>
          <w:i w:val="0"/>
          <w:color w:val="1B2A24"/>
          <w:sz w:val="30"/>
        </w:rPr>
        <w:t>Graduation Project Report</w:t>
      </w:r>
    </w:p>
    <w:p>
      <w:pPr>
        <w:spacing w:after="600" w:before="0"/>
        <w:jc w:val="center"/>
      </w:pPr>
      <w:r>
        <w:rPr>
          <w:b w:val="0"/>
          <w:i w:val="0"/>
          <w:color w:val="55665E"/>
          <w:sz w:val="24"/>
        </w:rPr>
        <w:t>DEPI — Microsoft Machine Learning Program</w:t>
      </w:r>
    </w:p>
    <w:p>
      <w:pPr>
        <w:spacing w:after="80" w:before="0"/>
        <w:jc w:val="center"/>
      </w:pPr>
      <w:r>
        <w:rPr>
          <w:b/>
          <w:i w:val="0"/>
          <w:color w:val="1B2A24"/>
          <w:sz w:val="24"/>
        </w:rPr>
        <w:t>Team Members</w:t>
      </w:r>
    </w:p>
    <w:p>
      <w:pPr>
        <w:spacing w:after="40" w:before="0"/>
        <w:jc w:val="center"/>
      </w:pPr>
      <w:r>
        <w:rPr>
          <w:b w:val="0"/>
          <w:i w:val="0"/>
          <w:color w:val="1B2A24"/>
          <w:sz w:val="24"/>
        </w:rPr>
        <w:t>Ahmed Abd El-Ghafar Slama</w:t>
      </w:r>
    </w:p>
    <w:p>
      <w:pPr>
        <w:spacing w:after="40" w:before="0"/>
        <w:jc w:val="center"/>
      </w:pPr>
      <w:r>
        <w:rPr>
          <w:b w:val="0"/>
          <w:i w:val="0"/>
          <w:color w:val="1B2A24"/>
          <w:sz w:val="24"/>
        </w:rPr>
        <w:t>Ahmed Hassan Mohamed</w:t>
      </w:r>
    </w:p>
    <w:p>
      <w:pPr>
        <w:spacing w:after="40" w:before="0"/>
        <w:jc w:val="center"/>
      </w:pPr>
      <w:r>
        <w:rPr>
          <w:b w:val="0"/>
          <w:i w:val="0"/>
          <w:color w:val="1B2A24"/>
          <w:sz w:val="24"/>
        </w:rPr>
        <w:t>Yara Ahmed Mohamed Abdelall</w:t>
      </w:r>
    </w:p>
    <w:p>
      <w:pPr>
        <w:spacing w:after="40" w:before="0"/>
        <w:jc w:val="center"/>
      </w:pPr>
      <w:r>
        <w:rPr>
          <w:b w:val="0"/>
          <w:i w:val="0"/>
          <w:color w:val="1B2A24"/>
          <w:sz w:val="24"/>
        </w:rPr>
        <w:t>Salwa Wael Mohammed Elkordy</w:t>
      </w:r>
    </w:p>
    <w:p>
      <w:pPr>
        <w:spacing w:after="120" w:before="0"/>
      </w:pPr>
    </w:p>
    <w:p>
      <w:pPr>
        <w:spacing w:after="120" w:before="0"/>
        <w:jc w:val="center"/>
      </w:pPr>
      <w:r>
        <w:rPr>
          <w:b w:val="0"/>
          <w:i w:val="0"/>
          <w:color w:val="55665E"/>
          <w:sz w:val="24"/>
        </w:rPr>
        <w:t>2026</w:t>
      </w:r>
    </w:p>
    <w:p>
      <w:r>
        <w:br w:type="page"/>
      </w:r>
    </w:p>
    <w:p>
      <w:pPr>
        <w:pStyle w:val="Heading1"/>
      </w:pPr>
      <w:r>
        <w:t>Abstract</w:t>
      </w:r>
    </w:p>
    <w:p>
      <w:pPr>
        <w:spacing w:after="120" w:before="0"/>
      </w:pPr>
      <w:r>
        <w:rPr>
          <w:b w:val="0"/>
          <w:i w:val="0"/>
          <w:color w:val="1B2A24"/>
          <w:sz w:val="22"/>
        </w:rPr>
        <w:t>This project delivers a real-time American Sign Language (ASL) fingerspelling recognition system that reads hand gestures from a webcam and converts them into on-screen text. Rather than classifying raw pixels, the system extracts 21 hand landmarks with Google MediaPipe and feeds a compact, geometry-normalised 63-dimensional feature vector to a Multi-Layer Perceptron (MLP). This landmark-based design makes the model small, fast on CPU, and robust to background, lighting, and skin tone. On a held-out test set of 11,074 samples the model achieves 98.74% accuracy and a 0.986 macro F1-score across the 24 static ASL letters (A–I, K–Y). The trained model is deployed end-to-end as a browser application that runs entirely on the client, and the full pipeline — preprocessing, model, and inference code — is packaged for reuse in a REST/WebSocket backend.</w:t>
      </w:r>
    </w:p>
    <w:p>
      <w:pPr>
        <w:pStyle w:val="Heading1"/>
      </w:pPr>
      <w:r>
        <w:t>1. Introduction</w:t>
      </w:r>
    </w:p>
    <w:p>
      <w:pPr>
        <w:pStyle w:val="Heading2"/>
      </w:pPr>
      <w:r>
        <w:t>1.1 Problem Statement</w:t>
      </w:r>
    </w:p>
    <w:p>
      <w:pPr>
        <w:spacing w:after="120" w:before="0"/>
      </w:pPr>
      <w:r>
        <w:rPr>
          <w:b w:val="0"/>
          <w:i w:val="0"/>
          <w:color w:val="1B2A24"/>
          <w:sz w:val="22"/>
        </w:rPr>
        <w:t>Communication is a daily barrier for deaf and hard-of-hearing people whenever a hearing interpreter is not present. Certified interpreters are scarce and expensive, and everyday interactions — a pharmacy counter, a clinic reception, a bank teller — often have no accessible channel. An automatic, camera-only system that recognises sign language can help bridge this gap instantly and at negligible cost.</w:t>
      </w:r>
    </w:p>
    <w:p>
      <w:pPr>
        <w:pStyle w:val="Heading2"/>
      </w:pPr>
      <w:r>
        <w:t>1.2 Objective</w:t>
      </w:r>
    </w:p>
    <w:p>
      <w:pPr>
        <w:spacing w:after="120" w:before="0"/>
      </w:pPr>
      <w:r>
        <w:rPr>
          <w:b w:val="0"/>
          <w:i w:val="0"/>
          <w:color w:val="1B2A24"/>
          <w:sz w:val="22"/>
        </w:rPr>
        <w:t>Build an accurate, real-time system that recognises ASL fingerspelling from a standard webcam and assembles the recognised letters into words, using only a camera — no gloves or sensors.</w:t>
      </w:r>
    </w:p>
    <w:p>
      <w:pPr>
        <w:pStyle w:val="Heading2"/>
      </w:pPr>
      <w:r>
        <w:t>1.3 Scope</w:t>
      </w:r>
    </w:p>
    <w:p>
      <w:pPr>
        <w:pStyle w:val="ListBullet"/>
        <w:spacing w:after="60"/>
      </w:pPr>
      <w:r>
        <w:rPr>
          <w:b/>
          <w:sz w:val="22"/>
        </w:rPr>
        <w:t>In scope:</w:t>
      </w:r>
      <w:r>
        <w:rPr>
          <w:sz w:val="22"/>
        </w:rPr>
        <w:t xml:space="preserve"> the 24 static ASL alphabet letters (A–I, K–Y), each a fixed hand pose.</w:t>
      </w:r>
    </w:p>
    <w:p>
      <w:pPr>
        <w:pStyle w:val="ListBullet"/>
        <w:spacing w:after="60"/>
      </w:pPr>
      <w:r>
        <w:rPr>
          <w:b/>
          <w:sz w:val="22"/>
        </w:rPr>
        <w:t>Out of scope:</w:t>
      </w:r>
      <w:r>
        <w:rPr>
          <w:sz w:val="22"/>
        </w:rPr>
        <w:t xml:space="preserve"> the two motion letters J and Z (they require movement, not a single pose), and the control tokens space / delete / nothing.</w:t>
      </w:r>
    </w:p>
    <w:p>
      <w:pPr>
        <w:pStyle w:val="Heading1"/>
      </w:pPr>
      <w:r>
        <w:t>2. Dataset</w:t>
      </w:r>
    </w:p>
    <w:p>
      <w:pPr>
        <w:spacing w:after="120" w:before="0"/>
      </w:pPr>
      <w:r>
        <w:rPr>
          <w:b w:val="0"/>
          <w:i w:val="0"/>
          <w:color w:val="1B2A24"/>
          <w:sz w:val="22"/>
        </w:rPr>
        <w:t>We use the public ASL Alphabet dataset (Kaggle, grassknoted/asl-alphabet): approximately 87,000 colour images of size 200×200, originally spanning 29 classes (A–Z, space, delete, nothing) with about 3,000 images per class. The dataset is well balanced, which avoids the need for class re-weighting.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584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b w:val="0"/>
          <w:i/>
          <w:color w:val="55665E"/>
          <w:sz w:val="19"/>
        </w:rPr>
        <w:t>Figure 1. Training images per class — the 24 modelled classes are balanced (~3,000 each).</w:t>
      </w:r>
    </w:p>
    <w:p>
      <w:pPr>
        <w:spacing w:after="120" w:before="0"/>
      </w:pPr>
      <w:r>
        <w:rPr>
          <w:b w:val="0"/>
          <w:i w:val="0"/>
          <w:color w:val="1B2A24"/>
          <w:sz w:val="22"/>
        </w:rPr>
        <w:t>Because the recognition works on hand landmarks, each image is passed through MediaPipe to detect a hand and extract 21 landmarks; images where no hand is found are skipped. The detection rate varies by pose — closed-fist letters such as N and M are the hardest to detect — but remains high enough across classes to build a large, clean landmark dataset.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584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tection_ra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b w:val="0"/>
          <w:i/>
          <w:color w:val="55665E"/>
          <w:sz w:val="19"/>
        </w:rPr>
        <w:t>Figure 2. MediaPipe hand-detection rate per class during landmark extraction.</w:t>
      </w:r>
    </w:p>
    <w:p>
      <w:pPr>
        <w:pStyle w:val="Heading1"/>
      </w:pPr>
      <w:r>
        <w:t>3. Methodology</w:t>
      </w:r>
    </w:p>
    <w:p>
      <w:pPr>
        <w:pStyle w:val="Heading2"/>
      </w:pPr>
      <w:r>
        <w:t>3.1 Pipeline Overview</w:t>
      </w:r>
    </w:p>
    <w:p>
      <w:pPr>
        <w:spacing w:after="120" w:before="0"/>
      </w:pPr>
      <w:r>
        <w:rPr>
          <w:b w:val="0"/>
          <w:i/>
          <w:color w:val="336EA8"/>
          <w:sz w:val="22"/>
        </w:rPr>
        <w:t>Webcam frame → MediaPipe HandLandmarker (21 points) → landmark normalisation (63-D vector) → StandardScaler → MLP classifier → confidence gate → temporal smoothing → letter → word builder.</w:t>
      </w:r>
    </w:p>
    <w:p>
      <w:pPr>
        <w:pStyle w:val="Heading2"/>
      </w:pPr>
      <w:r>
        <w:t>3.2 Landmark Extraction</w:t>
      </w:r>
    </w:p>
    <w:p>
      <w:pPr>
        <w:spacing w:after="120" w:before="0"/>
      </w:pPr>
      <w:r>
        <w:rPr>
          <w:b w:val="0"/>
          <w:i w:val="0"/>
          <w:color w:val="1B2A24"/>
          <w:sz w:val="22"/>
        </w:rPr>
        <w:t>MediaPipe Hands returns 21 landmarks per hand as normalised (x, y, z) coordinates. Stacking them produces a 21×3 matrix that is flattened into a 63-dimensional feature vector — the input to every downstream stage.</w:t>
      </w:r>
    </w:p>
    <w:p>
      <w:pPr>
        <w:pStyle w:val="Heading2"/>
      </w:pPr>
      <w:r>
        <w:t>3.3 Normalisation (why it generalises)</w:t>
      </w:r>
    </w:p>
    <w:p>
      <w:pPr>
        <w:spacing w:after="120" w:before="0"/>
      </w:pPr>
      <w:r>
        <w:rPr>
          <w:b w:val="0"/>
          <w:i w:val="0"/>
          <w:color w:val="1B2A24"/>
          <w:sz w:val="22"/>
        </w:rPr>
        <w:t>Raw coordinates depend on where the hand is in the frame and how large it appears. We remove both nuisances with a two-step geometric normalisation:</w:t>
      </w:r>
    </w:p>
    <w:p>
      <w:pPr>
        <w:pStyle w:val="ListBullet"/>
        <w:spacing w:after="60"/>
      </w:pPr>
      <w:r>
        <w:rPr>
          <w:b/>
          <w:sz w:val="22"/>
        </w:rPr>
        <w:t xml:space="preserve">Wrist-relative: </w:t>
      </w:r>
      <w:r>
        <w:rPr>
          <w:sz w:val="22"/>
        </w:rPr>
        <w:t xml:space="preserve"> subtract the wrist landmark from all points, so the representation no longer depends on the hand's position in the frame (translation invariance).</w:t>
      </w:r>
    </w:p>
    <w:p>
      <w:pPr>
        <w:pStyle w:val="ListBullet"/>
        <w:spacing w:after="60"/>
      </w:pPr>
      <w:r>
        <w:rPr>
          <w:b/>
          <w:sz w:val="22"/>
        </w:rPr>
        <w:t xml:space="preserve">Scale normalisation: </w:t>
      </w:r>
      <w:r>
        <w:rPr>
          <w:sz w:val="22"/>
        </w:rPr>
        <w:t xml:space="preserve"> divide all points by the largest wrist-to-landmark distance, so a hand near or far from the camera maps to the same vector (scale invariance).</w:t>
      </w:r>
    </w:p>
    <w:p>
      <w:pPr>
        <w:spacing w:after="120" w:before="0"/>
      </w:pPr>
      <w:r>
        <w:rPr>
          <w:b w:val="0"/>
          <w:i w:val="0"/>
          <w:color w:val="1B2A24"/>
          <w:sz w:val="22"/>
        </w:rPr>
        <w:t>Because an ASL letter is defined by hand shape — not by screen position or apparent size — removing these factors lets the model learn a much simpler function and generalise across users, cameras, and resolutions. Rotation is deliberately preserved because finger orientation is semantically meaningful in ASL.</w:t>
      </w:r>
    </w:p>
    <w:p>
      <w:pPr>
        <w:pStyle w:val="Heading2"/>
      </w:pPr>
      <w:r>
        <w:t>3.4 Model Architecture</w:t>
      </w:r>
    </w:p>
    <w:p>
      <w:pPr>
        <w:spacing w:after="120" w:before="0"/>
      </w:pPr>
      <w:r>
        <w:rPr>
          <w:b w:val="0"/>
          <w:i w:val="0"/>
          <w:color w:val="1B2A24"/>
          <w:sz w:val="22"/>
        </w:rPr>
        <w:t>A small MLP is the right tool for a compact 63-D geometric descriptor: it is accurate, trains in seconds, and runs in well under a millisecond, which keeps the whole system real-time.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176"/>
            <w:shd w:val="clear" w:fill="047954"/>
          </w:tcPr>
          <w:p>
            <w:r/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1296"/>
            <w:shd w:val="clear" w:fill="047954"/>
          </w:tcPr>
          <w:p>
            <w:r/>
            <w:r>
              <w:rPr>
                <w:b/>
                <w:color w:val="FFFFFF"/>
                <w:sz w:val="19"/>
              </w:rPr>
              <w:t>Units</w:t>
            </w:r>
          </w:p>
        </w:tc>
        <w:tc>
          <w:tcPr>
            <w:tcW w:type="dxa" w:w="3888"/>
            <w:shd w:val="clear" w:fill="047954"/>
          </w:tcPr>
          <w:p>
            <w:r/>
            <w:r>
              <w:rPr>
                <w:b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19"/>
              </w:rPr>
              <w:t>Input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63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flattened 21×3 landmarks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19"/>
              </w:rPr>
              <w:t>Dense + BatchNorm + ReLU + Dropout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256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dropout 0.35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19"/>
              </w:rPr>
              <w:t>Dense + BatchNorm + ReLU + Dropout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128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dropout 0.35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19"/>
              </w:rPr>
              <w:t>Dense + BatchNorm + ReLU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64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19"/>
              </w:rPr>
              <w:t>Dense (Softmax)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24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class probabilities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t>3.5 Training</w:t>
      </w:r>
    </w:p>
    <w:p>
      <w:pPr>
        <w:pStyle w:val="ListBullet"/>
        <w:spacing w:after="60"/>
      </w:pPr>
      <w:r>
        <w:rPr>
          <w:b/>
          <w:sz w:val="22"/>
        </w:rPr>
        <w:t xml:space="preserve">Preprocessing: </w:t>
      </w:r>
      <w:r>
        <w:rPr>
          <w:sz w:val="22"/>
        </w:rPr>
        <w:t xml:space="preserve"> labels encoded with LabelEncoder; features standardised with StandardScaler (fit on the training split only).</w:t>
      </w:r>
    </w:p>
    <w:p>
      <w:pPr>
        <w:pStyle w:val="ListBullet"/>
        <w:spacing w:after="60"/>
      </w:pPr>
      <w:r>
        <w:rPr>
          <w:b/>
          <w:sz w:val="22"/>
        </w:rPr>
        <w:t xml:space="preserve">Split: </w:t>
      </w:r>
      <w:r>
        <w:rPr>
          <w:sz w:val="22"/>
        </w:rPr>
        <w:t xml:space="preserve"> stratified 80 / 20 train–test split preserving class proportions.</w:t>
      </w:r>
    </w:p>
    <w:p>
      <w:pPr>
        <w:pStyle w:val="ListBullet"/>
        <w:spacing w:after="60"/>
      </w:pPr>
      <w:r>
        <w:rPr>
          <w:b/>
          <w:sz w:val="22"/>
        </w:rPr>
        <w:t xml:space="preserve">Optimisation: </w:t>
      </w:r>
      <w:r>
        <w:rPr>
          <w:sz w:val="22"/>
        </w:rPr>
        <w:t xml:space="preserve"> Adam optimiser, sparse categorical cross-entropy, with EarlyStopping, ReduceLROnPlateau and ModelCheckpoint callbacks.</w:t>
      </w:r>
    </w:p>
    <w:p>
      <w:pPr>
        <w:pStyle w:val="Heading2"/>
      </w:pPr>
      <w:r>
        <w:t>3.6 Stability at Inference</w:t>
      </w:r>
    </w:p>
    <w:p>
      <w:pPr>
        <w:spacing w:after="120" w:before="0"/>
      </w:pPr>
      <w:r>
        <w:rPr>
          <w:b w:val="0"/>
          <w:i w:val="0"/>
          <w:color w:val="1B2A24"/>
          <w:sz w:val="22"/>
        </w:rPr>
        <w:t>Two mechanisms turn noisy per-frame predictions into steady output: a confidence gate reports uncertain frames as 'no letter' so wrong letters never flash during hand transitions, and a temporal majority vote over the last few frames removes single-frame flicker. A word builder then commits a letter only after it has been stable for several consecutive frames.</w:t>
      </w:r>
    </w:p>
    <w:p>
      <w:pPr>
        <w:pStyle w:val="Heading1"/>
      </w:pPr>
      <w:r>
        <w:t>4. Results &amp; Evaluation</w:t>
      </w:r>
    </w:p>
    <w:p>
      <w:pPr>
        <w:spacing w:after="120" w:before="0"/>
      </w:pPr>
      <w:r>
        <w:rPr>
          <w:b w:val="0"/>
          <w:i w:val="0"/>
          <w:color w:val="1B2A24"/>
          <w:sz w:val="22"/>
        </w:rPr>
        <w:t>The model was evaluated on the held-out test set of 11,074 landmark samples.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  <w:shd w:val="clear" w:fill="047954"/>
          </w:tcPr>
          <w:p>
            <w:r/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304"/>
            <w:shd w:val="clear" w:fill="047954"/>
          </w:tcPr>
          <w:p>
            <w:r/>
            <w:r>
              <w:rPr>
                <w:b/>
                <w:color w:val="FFFFFF"/>
                <w:sz w:val="20"/>
              </w:rPr>
              <w:t>Score</w:t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20"/>
              </w:rPr>
              <w:t>Accuracy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0.9874</w:t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20"/>
              </w:rPr>
              <w:t>Precision (weighted)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0.9876</w:t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20"/>
              </w:rPr>
              <w:t>Recall (weighted)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0.9874</w:t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20"/>
              </w:rPr>
              <w:t>F1-score (weighted)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0.9874</w:t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20"/>
              </w:rPr>
              <w:t>F1-score (macro)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0.9859</w:t>
            </w:r>
          </w:p>
        </w:tc>
      </w:tr>
    </w:tbl>
    <w:p>
      <w:pPr>
        <w:spacing w:after="120" w:before="0"/>
      </w:pPr>
    </w:p>
    <w:p>
      <w:pPr>
        <w:spacing w:after="120" w:before="0"/>
      </w:pPr>
      <w:r>
        <w:rPr>
          <w:b w:val="0"/>
          <w:i w:val="0"/>
          <w:color w:val="1B2A24"/>
          <w:sz w:val="22"/>
        </w:rPr>
        <w:t>The model reaches near-ceiling performance on almost every class. Precision, recall, and F1 are shown per class below.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8821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_class_metric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2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b w:val="0"/>
          <w:i/>
          <w:color w:val="55665E"/>
          <w:sz w:val="19"/>
        </w:rPr>
        <w:t>Figure 3. Per-class precision, recall, and F1-score on the test set.</w:t>
      </w:r>
    </w:p>
    <w:p>
      <w:pPr>
        <w:spacing w:after="120" w:before="0"/>
      </w:pPr>
      <w:r>
        <w:rPr>
          <w:b w:val="0"/>
          <w:i w:val="0"/>
          <w:color w:val="1B2A24"/>
          <w:sz w:val="22"/>
        </w:rPr>
        <w:t>The confusion matrix confirms an almost purely diagonal result. The only notable confusion is between N and M — both are closed-fist poses that differ only by how many fingers are tucked over the thumb, so they are visually similar even to humans. All other classes are separated cleanly.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41581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158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b w:val="0"/>
          <w:i/>
          <w:color w:val="55665E"/>
          <w:sz w:val="19"/>
        </w:rPr>
        <w:t>Figure 4. Confusion matrix on the test set (diagonal = correct predictions).</w:t>
      </w:r>
    </w:p>
    <w:p>
      <w:pPr>
        <w:pStyle w:val="Heading2"/>
      </w:pPr>
      <w:r>
        <w:t>4.1 Full Classification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584"/>
            <w:shd w:val="clear" w:fill="047954"/>
          </w:tcPr>
          <w:p>
            <w:r/>
            <w:r>
              <w:rPr>
                <w:b/>
                <w:color w:val="FFFFFF"/>
                <w:sz w:val="17"/>
              </w:rPr>
              <w:t>Class</w:t>
            </w:r>
          </w:p>
        </w:tc>
        <w:tc>
          <w:tcPr>
            <w:tcW w:type="dxa" w:w="2016"/>
            <w:shd w:val="clear" w:fill="047954"/>
          </w:tcPr>
          <w:p>
            <w:r/>
            <w:r>
              <w:rPr>
                <w:b/>
                <w:color w:val="FFFFFF"/>
                <w:sz w:val="17"/>
              </w:rPr>
              <w:t>Precision</w:t>
            </w:r>
          </w:p>
        </w:tc>
        <w:tc>
          <w:tcPr>
            <w:tcW w:type="dxa" w:w="1728"/>
            <w:shd w:val="clear" w:fill="047954"/>
          </w:tcPr>
          <w:p>
            <w:r/>
            <w:r>
              <w:rPr>
                <w:b/>
                <w:color w:val="FFFFFF"/>
                <w:sz w:val="17"/>
              </w:rPr>
              <w:t>Recall</w:t>
            </w:r>
          </w:p>
        </w:tc>
        <w:tc>
          <w:tcPr>
            <w:tcW w:type="dxa" w:w="1872"/>
            <w:shd w:val="clear" w:fill="047954"/>
          </w:tcPr>
          <w:p>
            <w:r/>
            <w:r>
              <w:rPr>
                <w:b/>
                <w:color w:val="FFFFFF"/>
                <w:sz w:val="17"/>
              </w:rPr>
              <w:t>F1-score</w:t>
            </w:r>
          </w:p>
        </w:tc>
        <w:tc>
          <w:tcPr>
            <w:tcW w:type="dxa" w:w="1728"/>
            <w:shd w:val="clear" w:fill="047954"/>
          </w:tcPr>
          <w:p>
            <w:r/>
            <w:r>
              <w:rPr>
                <w:b/>
                <w:color w:val="FFFFFF"/>
                <w:sz w:val="17"/>
              </w:rPr>
              <w:t>Support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A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.99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.99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.99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436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B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1.00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1.00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1.00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440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C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.99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1.00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1.00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392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D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1.00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.98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.99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491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E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1.00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.98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.99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461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F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1.00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.98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.99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573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G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1.00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1.00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1.00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486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H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1.00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.99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.99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475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I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.99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.97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.98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476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K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1.00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.99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1.00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540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L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1.00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1.00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1.00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504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M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.92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.99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.95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320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N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.98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.89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.94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255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O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.96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1.00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.98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452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P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1.00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.98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.99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408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Q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.97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1.00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.98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424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R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.99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.98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.99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509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S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.98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1.00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.99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511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T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.99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.99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.99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471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U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.97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.98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.98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502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V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.99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.99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.99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510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W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1.00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.99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.99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491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X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.99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.99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.99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431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Y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1.00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1.00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1.00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516</w:t>
            </w:r>
          </w:p>
        </w:tc>
      </w:tr>
    </w:tbl>
    <w:p>
      <w:pPr>
        <w:spacing w:after="120" w:before="0"/>
      </w:pPr>
    </w:p>
    <w:p>
      <w:pPr>
        <w:spacing w:after="120" w:before="0"/>
      </w:pPr>
      <w:r>
        <w:rPr>
          <w:b w:val="0"/>
          <w:i/>
          <w:color w:val="55665E"/>
          <w:sz w:val="20"/>
        </w:rPr>
        <w:t>Weighted average: precision 0.99, recall 0.99, F1 0.99 over 11,074 samples.</w:t>
      </w:r>
    </w:p>
    <w:p>
      <w:pPr>
        <w:pStyle w:val="Heading1"/>
      </w:pPr>
      <w:r>
        <w:t>5. System Implementation &amp; Deployment</w:t>
      </w:r>
    </w:p>
    <w:p>
      <w:pPr>
        <w:pStyle w:val="Heading2"/>
      </w:pPr>
      <w:r>
        <w:t>5.1 Reusable ML Modules</w:t>
      </w:r>
    </w:p>
    <w:p>
      <w:pPr>
        <w:spacing w:after="120" w:before="0"/>
      </w:pPr>
      <w:r>
        <w:rPr>
          <w:b w:val="0"/>
          <w:i w:val="0"/>
          <w:color w:val="1B2A24"/>
          <w:sz w:val="22"/>
        </w:rPr>
        <w:t>All preprocessing and inference logic lives in two pure Python modules — asl_landmarks.py (landmark extraction + normalisation) and asl_inference.py (the translator and word builder). The same code that trained the model is imported verbatim by every deployment target, so there is no drift between the notebook and production.</w:t>
      </w:r>
    </w:p>
    <w:p>
      <w:pPr>
        <w:pStyle w:val="Heading2"/>
      </w:pPr>
      <w:r>
        <w:t>5.2 Deployment Targets</w:t>
      </w:r>
    </w:p>
    <w:p>
      <w:pPr>
        <w:pStyle w:val="ListBullet"/>
        <w:spacing w:after="60"/>
      </w:pPr>
      <w:r>
        <w:rPr>
          <w:b/>
          <w:sz w:val="22"/>
        </w:rPr>
        <w:t xml:space="preserve">Training notebook: </w:t>
      </w:r>
      <w:r>
        <w:rPr>
          <w:sz w:val="22"/>
        </w:rPr>
        <w:t xml:space="preserve"> a single-file Google Colab notebook that downloads the data, extracts landmarks, trains the model, evaluates it, and exports the deployment bundle.</w:t>
      </w:r>
    </w:p>
    <w:p>
      <w:pPr>
        <w:pStyle w:val="ListBullet"/>
        <w:spacing w:after="60"/>
      </w:pPr>
      <w:r>
        <w:rPr>
          <w:b/>
          <w:sz w:val="22"/>
        </w:rPr>
        <w:t xml:space="preserve">Backend API: </w:t>
      </w:r>
      <w:r>
        <w:rPr>
          <w:sz w:val="22"/>
        </w:rPr>
        <w:t xml:space="preserve"> a FastAPI service exposing REST and WebSocket endpoints for prediction, plus interactive Swagger documentation.</w:t>
      </w:r>
    </w:p>
    <w:p>
      <w:pPr>
        <w:pStyle w:val="ListBullet"/>
        <w:spacing w:after="60"/>
      </w:pPr>
      <w:r>
        <w:rPr>
          <w:b/>
          <w:sz w:val="22"/>
        </w:rPr>
        <w:t xml:space="preserve">Frontend: </w:t>
      </w:r>
      <w:r>
        <w:rPr>
          <w:sz w:val="22"/>
        </w:rPr>
        <w:t xml:space="preserve"> a web client that captures webcam frames, draws the hand skeleton, and shows the letter, confidence, and assembled word.</w:t>
      </w:r>
    </w:p>
    <w:p>
      <w:pPr>
        <w:pStyle w:val="ListBullet"/>
        <w:spacing w:after="60"/>
      </w:pPr>
      <w:r>
        <w:rPr>
          <w:b/>
          <w:sz w:val="22"/>
        </w:rPr>
        <w:t xml:space="preserve">Live in-browser demo: </w:t>
      </w:r>
      <w:r>
        <w:rPr>
          <w:sz w:val="22"/>
        </w:rPr>
        <w:t xml:space="preserve"> the model is exported to run entirely in the browser (MediaPipe in WebAssembly and the MLP re-implemented in JavaScript), hosted as a static web app — free, always-on, and privacy-preserving because no video leaves the device.</w:t>
      </w:r>
    </w:p>
    <w:p>
      <w:pPr>
        <w:pStyle w:val="Heading2"/>
      </w:pPr>
      <w:r>
        <w:t>5.3 Technology Stack</w:t>
      </w:r>
    </w:p>
    <w:p>
      <w:pPr>
        <w:spacing w:after="120" w:before="0"/>
      </w:pPr>
      <w:r>
        <w:rPr>
          <w:b w:val="0"/>
          <w:i w:val="0"/>
          <w:color w:val="1B2A24"/>
          <w:sz w:val="21"/>
        </w:rPr>
        <w:t>Python, TensorFlow/Keras, MediaPipe (Tasks HandLandmarker), scikit-learn, NumPy, OpenCV, FastAPI, Uvicorn; HTML/CSS/JavaScript, WebSocket, Canvas; Google Colab and Docker.</w:t>
      </w:r>
    </w:p>
    <w:p>
      <w:pPr>
        <w:pStyle w:val="Heading1"/>
      </w:pPr>
      <w:r>
        <w:t>6. Business Impact &amp; Practical Use</w:t>
      </w:r>
    </w:p>
    <w:p>
      <w:pPr>
        <w:spacing w:after="120" w:before="0"/>
      </w:pPr>
      <w:r>
        <w:rPr>
          <w:b w:val="0"/>
          <w:i w:val="0"/>
          <w:color w:val="1B2A24"/>
          <w:sz w:val="22"/>
        </w:rPr>
        <w:t>A camera-only, real-time accessibility tool scales instant, low-cost communication where human interpreters cannot. Practical deployments include accessibility kiosks at service counters, interactive ASL-learning apps with instant feedback, healthcare intake support, and captioning for video calls. Because the system runs on landmarks it is cheap to deploy at scale and can run on-device for privacy — a visible, measurable accessibility commitment aligned with national digital-inclusion goals.</w:t>
      </w:r>
    </w:p>
    <w:p>
      <w:pPr>
        <w:pStyle w:val="Heading1"/>
      </w:pPr>
      <w:r>
        <w:t>7. Limitations &amp; Future Work</w:t>
      </w:r>
    </w:p>
    <w:p>
      <w:pPr>
        <w:pStyle w:val="ListBullet"/>
        <w:spacing w:after="60"/>
      </w:pPr>
      <w:r>
        <w:rPr>
          <w:b/>
          <w:sz w:val="22"/>
        </w:rPr>
        <w:t xml:space="preserve">Scope: </w:t>
      </w:r>
      <w:r>
        <w:rPr>
          <w:sz w:val="22"/>
        </w:rPr>
        <w:t xml:space="preserve"> the static alphabet (24 letters); the motion letters J and Z are out of scope.</w:t>
      </w:r>
    </w:p>
    <w:p>
      <w:pPr>
        <w:pStyle w:val="ListBullet"/>
        <w:spacing w:after="60"/>
      </w:pPr>
      <w:r>
        <w:rPr>
          <w:b/>
          <w:sz w:val="22"/>
        </w:rPr>
        <w:t xml:space="preserve">Confusion: </w:t>
      </w:r>
      <w:r>
        <w:rPr>
          <w:sz w:val="22"/>
        </w:rPr>
        <w:t xml:space="preserve"> N and M (closed-fist poses) are the main source of the small remaining error.</w:t>
      </w:r>
    </w:p>
    <w:p>
      <w:pPr>
        <w:pStyle w:val="ListBullet"/>
        <w:spacing w:after="60"/>
      </w:pPr>
      <w:r>
        <w:rPr>
          <w:b/>
          <w:sz w:val="22"/>
        </w:rPr>
        <w:t xml:space="preserve">Future work: </w:t>
      </w:r>
      <w:r>
        <w:rPr>
          <w:sz w:val="22"/>
        </w:rPr>
        <w:t xml:space="preserve"> add motion-based recognition for J/Z, grow to word- and phrase-level signing, support Arabic Sign Language, and add text-to-speech for two-way conversation.</w:t>
      </w:r>
    </w:p>
    <w:p>
      <w:pPr>
        <w:spacing w:after="120" w:before="0"/>
      </w:pPr>
      <w:r>
        <w:rPr>
          <w:b w:val="0"/>
          <w:i/>
          <w:color w:val="55665E"/>
          <w:sz w:val="22"/>
        </w:rPr>
        <w:t>The system is an assistive aid and is not a replacement for professional interpreters in high-stakes settings such as legal or medical consent.</w:t>
      </w:r>
    </w:p>
    <w:p>
      <w:pPr>
        <w:pStyle w:val="Heading1"/>
      </w:pPr>
      <w:r>
        <w:t>8. Conclusion</w:t>
      </w:r>
    </w:p>
    <w:p>
      <w:pPr>
        <w:spacing w:after="120" w:before="0"/>
      </w:pPr>
      <w:r>
        <w:rPr>
          <w:b w:val="0"/>
          <w:i w:val="0"/>
          <w:color w:val="1B2A24"/>
          <w:sz w:val="22"/>
        </w:rPr>
        <w:t>The project demonstrates that a landmark-based approach delivers accurate (98.74%), real-time ASL fingerspelling recognition with a tiny, CPU-friendly model that generalises across users and settings. Combined with confidence gating, temporal smoothing, and a word builder, and deployed as an always-on in-browser application, it is a practical, production-shaped accessibility tool built end-to-end from data to live demo.</w:t>
      </w:r>
    </w:p>
    <w:p>
      <w:pPr>
        <w:pStyle w:val="Heading1"/>
      </w:pPr>
      <w:r>
        <w:t>References</w:t>
      </w:r>
    </w:p>
    <w:p>
      <w:pPr>
        <w:spacing w:after="60"/>
      </w:pPr>
      <w:r>
        <w:rPr>
          <w:b/>
        </w:rPr>
        <w:t xml:space="preserve">[1] </w:t>
      </w:r>
      <w:r>
        <w:rPr>
          <w:sz w:val="20"/>
        </w:rPr>
        <w:t>Kaggle — ASL Alphabet dataset (grassknoted/asl-alphabet).</w:t>
      </w:r>
    </w:p>
    <w:p>
      <w:pPr>
        <w:spacing w:after="60"/>
      </w:pPr>
      <w:r>
        <w:rPr>
          <w:b/>
        </w:rPr>
        <w:t xml:space="preserve">[2] </w:t>
      </w:r>
      <w:r>
        <w:rPr>
          <w:sz w:val="20"/>
        </w:rPr>
        <w:t>Google MediaPipe — Hand Landmarker (Tasks) documentation.</w:t>
      </w:r>
    </w:p>
    <w:p>
      <w:pPr>
        <w:spacing w:after="60"/>
      </w:pPr>
      <w:r>
        <w:rPr>
          <w:b/>
        </w:rPr>
        <w:t xml:space="preserve">[3] </w:t>
      </w:r>
      <w:r>
        <w:rPr>
          <w:sz w:val="20"/>
        </w:rPr>
        <w:t>TensorFlow / Keras — model training and serialization.</w:t>
      </w:r>
    </w:p>
    <w:p>
      <w:pPr>
        <w:spacing w:after="60"/>
      </w:pPr>
      <w:r>
        <w:rPr>
          <w:b/>
        </w:rPr>
        <w:t xml:space="preserve">[4] </w:t>
      </w:r>
      <w:r>
        <w:rPr>
          <w:sz w:val="20"/>
        </w:rPr>
        <w:t>scikit-learn — StandardScaler, LabelEncoder, evaluation metrics.</w:t>
      </w:r>
    </w:p>
    <w:p>
      <w:pPr>
        <w:spacing w:after="60"/>
      </w:pPr>
      <w:r>
        <w:rPr>
          <w:b/>
        </w:rPr>
        <w:t xml:space="preserve">[5] </w:t>
      </w:r>
      <w:r>
        <w:rPr>
          <w:sz w:val="20"/>
        </w:rPr>
        <w:t>FastAPI and Hugging Face Spaces — deployment.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B2A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4795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36EA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336EA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