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bidi/>
        <w:spacing w:after="60" w:before="0" w:lin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56"/>
          <w:szCs w:val="56"/>
          <w:rtl/>
        </w:rPr>
        <w:t xml:space="preserve">مدرسة الفلك المنير</w:t>
      </w:r>
    </w:p>
    <w:p>
      <w:pPr>
        <w:pBdr>
          <w:bottom w:val="single" w:color="C9A227" w:sz="18" w:space="2"/>
        </w:pBdr>
        <w:spacing w:after="160" w:before="40"/>
      </w:pPr>
    </w:p>
    <w:p>
      <w:pPr>
        <w:shd w:fill="1F3A5F" w:color="auto" w:val="clear"/>
        <w:bidi/>
        <w:spacing w:after="0" w:before="120" w:line="40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  <w:rtl/>
        </w:rPr>
        <w:t xml:space="preserve">الخطة التسويقية</w:t>
      </w:r>
    </w:p>
    <w:p>
      <w:pPr>
        <w:bidi/>
        <w:spacing w:after="700" w:before="260" w:lin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26"/>
          <w:szCs w:val="26"/>
          <w:rtl/>
        </w:rPr>
        <w:t xml:space="preserve">حملة عاجلة لاستقطاب الطلاب — موسم التسجيل 2026 / 2027</w:t>
      </w:r>
    </w:p>
    <w:tbl>
      <w:tblPr>
        <w:bidiVisual/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00"/>
        <w:gridCol w:w="3226"/>
      </w:tblGrid>
      <w:tr>
        <w:tc>
          <w:tcPr>
            <w:tcW w:type="dxa" w:w="5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bidi/>
              <w:spacing w:after="0" w:before="0" w:line="28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إدارة مدرسة الفلك المنير</w:t>
            </w:r>
          </w:p>
        </w:tc>
        <w:tc>
          <w:tcPr>
            <w:tcW w:type="dxa" w:w="3226"/>
            <w:shd w:fill="EEF2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bidi/>
              <w:spacing w:after="0" w:before="0" w:line="28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F"/>
                <w:sz w:val="22"/>
                <w:szCs w:val="22"/>
                <w:rtl/>
              </w:rPr>
              <w:t xml:space="preserve">مُقدَّمة إلى</w:t>
            </w:r>
          </w:p>
        </w:tc>
      </w:tr>
      <w:tr>
        <w:tc>
          <w:tcPr>
            <w:tcW w:type="dxa" w:w="5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bidi/>
              <w:spacing w:after="0" w:before="0" w:line="28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[ اسم المزوّد / الوكالة ]</w:t>
            </w:r>
          </w:p>
        </w:tc>
        <w:tc>
          <w:tcPr>
            <w:tcW w:type="dxa" w:w="3226"/>
            <w:shd w:fill="EEF2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bidi/>
              <w:spacing w:after="0" w:before="0" w:line="28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F"/>
                <w:sz w:val="22"/>
                <w:szCs w:val="22"/>
                <w:rtl/>
              </w:rPr>
              <w:t xml:space="preserve">مُعدّة بواسطة</w:t>
            </w:r>
          </w:p>
        </w:tc>
      </w:tr>
      <w:tr>
        <w:tc>
          <w:tcPr>
            <w:tcW w:type="dxa" w:w="5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bidi/>
              <w:spacing w:after="0" w:before="0" w:line="28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26 يوليو 2026</w:t>
            </w:r>
          </w:p>
        </w:tc>
        <w:tc>
          <w:tcPr>
            <w:tcW w:type="dxa" w:w="3226"/>
            <w:shd w:fill="EEF2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bidi/>
              <w:spacing w:after="0" w:before="0" w:line="28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F"/>
                <w:sz w:val="22"/>
                <w:szCs w:val="22"/>
                <w:rtl/>
              </w:rPr>
              <w:t xml:space="preserve">التاريخ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9A227" w:sz="14" w:space="6"/>
        </w:pBdr>
        <w:bidi/>
        <w:spacing w:after="150" w:before="340"/>
        <w:jc w:val="right"/>
      </w:pPr>
      <w:r>
        <w:rPr>
          <w:rFonts w:ascii="Arial" w:cs="Arial" w:eastAsia="Arial" w:hAnsi="Arial"/>
          <w:b/>
          <w:bCs/>
          <w:color w:val="1F3A5F"/>
          <w:sz w:val="28"/>
          <w:szCs w:val="28"/>
          <w:rtl/>
        </w:rPr>
        <w:t xml:space="preserve">أولاً: نظرة عامة والهدف</w:t>
      </w:r>
    </w:p>
    <w:p>
      <w:p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تأتي هذه الخطة استجابةً لانطلاق موسم التسجيل، وتستهدف استقطاب أكبر عدد من الطلاب وتحويلهم إلى تسجيلات فعلية خلال فترة قصيرة، عبر حملة رقمية مركّزة وسريعة التنفيذ.</w:t>
      </w:r>
    </w:p>
    <w:p>
      <w:pPr>
        <w:bidi/>
        <w:spacing w:after="130" w:before="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2"/>
          <w:szCs w:val="22"/>
          <w:rtl/>
        </w:rPr>
        <w:t xml:space="preserve">المراحل الدراسية: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من الحضانة حتى الثانوية (بنات)، وبنين حتى الصف السادس.</w:t>
      </w:r>
    </w:p>
    <w:p>
      <w:pPr>
        <w:bidi/>
        <w:spacing w:after="130" w:before="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2"/>
          <w:szCs w:val="22"/>
          <w:rtl/>
        </w:rPr>
        <w:t xml:space="preserve">التحدي: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الموسم انطلق والوقت عاملٌ حاسم؛ لذلك تركّز الخطة على أدوات سريعة الأثر وعالية التحويل.</w:t>
      </w:r>
    </w:p>
    <w:p>
      <w:pPr>
        <w:pStyle w:val="Heading1"/>
        <w:keepNext/>
        <w:pBdr>
          <w:bottom w:val="single" w:color="C9A227" w:sz="14" w:space="6"/>
        </w:pBdr>
        <w:bidi/>
        <w:spacing w:after="150" w:before="340"/>
        <w:jc w:val="right"/>
      </w:pPr>
      <w:r>
        <w:rPr>
          <w:rFonts w:ascii="Arial" w:cs="Arial" w:eastAsia="Arial" w:hAnsi="Arial"/>
          <w:b/>
          <w:bCs/>
          <w:color w:val="1F3A5F"/>
          <w:sz w:val="28"/>
          <w:szCs w:val="28"/>
          <w:rtl/>
        </w:rPr>
        <w:t xml:space="preserve">ثانياً: الفكرة الاستراتيجية</w:t>
      </w:r>
    </w:p>
    <w:p>
      <w:p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قرار اختيار المدرسة قرارٌ عاطفي بالدرجة الأولى، وغالباً ما تحسمه الأم، وتتقدّم فيه الثقة على السعر، ويُعدّ قرب المدرسة من السكن عاملاً مؤثراً في الاختيار.</w:t>
      </w:r>
    </w:p>
    <w:p>
      <w:p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بناءً على ذلك تقوم الحملة على ثلاثة محاور: بناء الثقة، والاستهداف الجغرافي المحلي، وتحفيز التسجيل الفوري.</w:t>
      </w:r>
    </w:p>
    <w:p>
      <w:pPr>
        <w:bidi/>
        <w:spacing w:after="130" w:before="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2"/>
          <w:szCs w:val="22"/>
          <w:rtl/>
        </w:rPr>
        <w:t xml:space="preserve">ورقة القوة: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«مدرسة تكبر مع بنتك» — رحلة تعليمية متصلة من الحضانة حتى الثانوية تبني ولاءً طويل الأمد لدى الأسرة.</w:t>
      </w:r>
    </w:p>
    <w:p>
      <w:pPr>
        <w:pStyle w:val="Heading1"/>
        <w:keepNext/>
        <w:pBdr>
          <w:bottom w:val="single" w:color="C9A227" w:sz="14" w:space="6"/>
        </w:pBdr>
        <w:bidi/>
        <w:spacing w:after="150" w:before="340"/>
        <w:jc w:val="right"/>
      </w:pPr>
      <w:r>
        <w:rPr>
          <w:rFonts w:ascii="Arial" w:cs="Arial" w:eastAsia="Arial" w:hAnsi="Arial"/>
          <w:b/>
          <w:bCs/>
          <w:color w:val="1F3A5F"/>
          <w:sz w:val="28"/>
          <w:szCs w:val="28"/>
          <w:rtl/>
        </w:rPr>
        <w:t xml:space="preserve">ثالثاً: مكوّنات الحملة</w:t>
      </w:r>
    </w:p>
    <w:p>
      <w:pPr>
        <w:bidi/>
        <w:spacing w:after="90" w:before="12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3"/>
          <w:szCs w:val="23"/>
          <w:rtl/>
        </w:rPr>
        <w:t xml:space="preserve">الأساس</w:t>
      </w:r>
    </w:p>
    <w:p>
      <w:pPr>
        <w:pStyle w:val="ListParagraph"/>
        <w:numPr>
          <w:ilvl w:val="0"/>
          <w:numId w:val="2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فيديو إعلاني احترافي (تصوير + مونتاج) بمدة 30–60 ثانية يُبرز هوية المدرسة ومزاياها.</w:t>
      </w:r>
    </w:p>
    <w:p>
      <w:pPr>
        <w:pStyle w:val="ListParagraph"/>
        <w:numPr>
          <w:ilvl w:val="0"/>
          <w:numId w:val="2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صفحة هبوط احترافية باسم المدرسة، متجاوبة مع الجوال، تنتهي بدعوة واضحة للتسجيل.</w:t>
      </w:r>
    </w:p>
    <w:p>
      <w:pPr>
        <w:pStyle w:val="ListParagraph"/>
        <w:numPr>
          <w:ilvl w:val="0"/>
          <w:numId w:val="2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إعلانات ممولة على سناب شات وتيك توك وانستقرام تستهدف أولياء الأمور في محيط المدرسة.</w:t>
      </w:r>
    </w:p>
    <w:p>
      <w:pPr>
        <w:bidi/>
        <w:spacing w:after="90" w:before="12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3"/>
          <w:szCs w:val="23"/>
          <w:rtl/>
        </w:rPr>
        <w:t xml:space="preserve">الإضافات الرافعة للتحويل</w:t>
      </w:r>
    </w:p>
    <w:p>
      <w:pPr>
        <w:pStyle w:val="ListParagraph"/>
        <w:numPr>
          <w:ilvl w:val="0"/>
          <w:numId w:val="2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مقاطع مشتقة من نفس التصوير: 4–6 مقاطع عمودية (9:16) بمقدّمات مختلفة، ومقطع شهادة ولي أمر، و5–10 ريلز قصيرة تكفي لتغطية شهر كامل من المحتوى.</w:t>
      </w:r>
    </w:p>
    <w:p>
      <w:pPr>
        <w:pStyle w:val="ListParagraph"/>
        <w:numPr>
          <w:ilvl w:val="0"/>
          <w:numId w:val="2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محرك واتساب مع متابعة فورية: زر «سجّل عبر واتساب»، وإعلانات Click-to-WhatsApp، ورسالة ترحيب تلقائية — فالسرعة في الرد هي ما يحسم التسجيل.</w:t>
      </w:r>
    </w:p>
    <w:p>
      <w:pPr>
        <w:pStyle w:val="ListParagraph"/>
        <w:numPr>
          <w:ilvl w:val="0"/>
          <w:numId w:val="2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عرض محفّز ودعوة واضحة للتسجيل: خصم تسجيل مبكر، أو مقاعد محدودة، أو موعد نهائي يخلق إلحاحاً يدفع لاتخاذ القرار.</w:t>
      </w:r>
    </w:p>
    <w:p>
      <w:pPr>
        <w:pStyle w:val="ListParagraph"/>
        <w:numPr>
          <w:ilvl w:val="0"/>
          <w:numId w:val="2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استهداف ذكي: جغرافي في نطاق 5–10 كم حول المدرسة، وجمهور مشابه (Lookalike) مبني على أرقام أولياء الأمور الحاليين، وإعادة استهداف (Retargeting) لزوّار صفحة الهبوط.</w:t>
      </w:r>
    </w:p>
    <w:p>
      <w:pPr>
        <w:pStyle w:val="ListParagraph"/>
        <w:numPr>
          <w:ilvl w:val="0"/>
          <w:numId w:val="2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يوم مفتوح (Open Day): فعالية تحويلية تُوجَّه إليها الحملة لتحويل الاهتمام إلى زيارة فتسجيل.</w:t>
      </w:r>
    </w:p>
    <w:p>
      <w:pPr>
        <w:pStyle w:val="ListParagraph"/>
        <w:numPr>
          <w:ilvl w:val="0"/>
          <w:numId w:val="2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تعاون مع مؤثّرة أمهات محلية في محيط المدرسة لبناء ثقة يصعب شراؤها بالإعلان.</w:t>
      </w:r>
    </w:p>
    <w:p>
      <w:pPr>
        <w:pStyle w:val="ListParagraph"/>
        <w:numPr>
          <w:ilvl w:val="0"/>
          <w:numId w:val="2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تفعيل الظهور في Google (نشاط تجاري على الخرائط + الظهور عند البحث باسم المدرسة) مع رابط تسجيل مباشر.</w:t>
      </w:r>
    </w:p>
    <w:p>
      <w:pPr>
        <w:pStyle w:val="ListParagraph"/>
        <w:numPr>
          <w:ilvl w:val="0"/>
          <w:numId w:val="2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برنامج «طالب يجيب طالب»: تحفيز أولياء الأمور الحاليين على التوصية مقابل حافز، فهو أرخص وأقوى مصدر للتسجيل.</w:t>
      </w:r>
    </w:p>
    <w:p>
      <w:pPr>
        <w:pStyle w:val="Heading1"/>
        <w:keepNext/>
        <w:pBdr>
          <w:bottom w:val="single" w:color="C9A227" w:sz="14" w:space="6"/>
        </w:pBdr>
        <w:bidi/>
        <w:spacing w:after="150" w:before="340"/>
        <w:jc w:val="right"/>
      </w:pPr>
      <w:r>
        <w:rPr>
          <w:rFonts w:ascii="Arial" w:cs="Arial" w:eastAsia="Arial" w:hAnsi="Arial"/>
          <w:b/>
          <w:bCs/>
          <w:color w:val="1F3A5F"/>
          <w:sz w:val="28"/>
          <w:szCs w:val="28"/>
          <w:rtl/>
        </w:rPr>
        <w:t xml:space="preserve">رابعاً: مسار التحويل</w:t>
      </w:r>
    </w:p>
    <w:p>
      <w:p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تعمل مكوّنات الحملة معاً ضمن مسارٍ متكامل يقود المهتم خطوةً بخطوة حتى التسجيل:</w:t>
      </w:r>
    </w:p>
    <w:p>
      <w:pPr>
        <w:pStyle w:val="ListParagraph"/>
        <w:numPr>
          <w:ilvl w:val="0"/>
          <w:numId w:val="1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الوصول: عبر الإعلانات الممولة والمؤثّرة المحلية.</w:t>
      </w:r>
    </w:p>
    <w:p>
      <w:pPr>
        <w:pStyle w:val="ListParagraph"/>
        <w:numPr>
          <w:ilvl w:val="0"/>
          <w:numId w:val="1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المشاهدة: عبر الفيديو الرئيسي والمقاطع القصيرة.</w:t>
      </w:r>
    </w:p>
    <w:p>
      <w:pPr>
        <w:pStyle w:val="ListParagraph"/>
        <w:numPr>
          <w:ilvl w:val="0"/>
          <w:numId w:val="1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الاهتمام: عبر صفحة الهبوط والعرض المحفّز.</w:t>
      </w:r>
    </w:p>
    <w:p>
      <w:pPr>
        <w:pStyle w:val="ListParagraph"/>
        <w:numPr>
          <w:ilvl w:val="0"/>
          <w:numId w:val="1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الليد: عبر التواصل المباشر على واتساب.</w:t>
      </w:r>
    </w:p>
    <w:p>
      <w:pPr>
        <w:pStyle w:val="ListParagraph"/>
        <w:numPr>
          <w:ilvl w:val="0"/>
          <w:numId w:val="1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المتابعة الفورية: الرد السريع على كل مهتم.</w:t>
      </w:r>
    </w:p>
    <w:p>
      <w:pPr>
        <w:pStyle w:val="ListParagraph"/>
        <w:numPr>
          <w:ilvl w:val="0"/>
          <w:numId w:val="1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التسجيل: إتمام عملية القبول والتسجيل.</w:t>
      </w:r>
    </w:p>
    <w:p>
      <w:pPr>
        <w:bidi/>
        <w:spacing w:after="130" w:before="6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2"/>
          <w:szCs w:val="22"/>
          <w:rtl/>
        </w:rPr>
        <w:t xml:space="preserve">نقطة الحسم: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سرعة المتابعة على الليد هي أكثر ما يرفع نسبة التحويل من اهتمام إلى تسجيل.</w:t>
      </w:r>
    </w:p>
    <w:p>
      <w:pPr>
        <w:pStyle w:val="Heading1"/>
        <w:keepNext/>
        <w:pBdr>
          <w:bottom w:val="single" w:color="C9A227" w:sz="14" w:space="6"/>
        </w:pBdr>
        <w:bidi/>
        <w:spacing w:after="150" w:before="340"/>
        <w:jc w:val="right"/>
      </w:pPr>
      <w:r>
        <w:rPr>
          <w:rFonts w:ascii="Arial" w:cs="Arial" w:eastAsia="Arial" w:hAnsi="Arial"/>
          <w:b/>
          <w:bCs/>
          <w:color w:val="1F3A5F"/>
          <w:sz w:val="28"/>
          <w:szCs w:val="28"/>
          <w:rtl/>
        </w:rPr>
        <w:t xml:space="preserve">خامساً: الجدول الزمني العاجل</w:t>
      </w:r>
    </w:p>
    <w:tbl>
      <w:tblPr>
        <w:bidiVisual/>
        <w:tblW w:type="dxa" w:w="9026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bidi/>
              <w:spacing w:after="0" w:before="0" w:line="28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المهام</w:t>
            </w:r>
          </w:p>
        </w:tc>
        <w:tc>
          <w:tcPr>
            <w:tcW w:type="dxa" w:w="2400"/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المرحلة</w:t>
            </w:r>
          </w:p>
        </w:tc>
      </w:tr>
      <w:tr>
        <w:tc>
          <w:tcPr>
            <w:tcW w:type="dxa" w:w="66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bidi/>
              <w:spacing w:after="0" w:before="0" w:line="28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  <w:rtl/>
              </w:rPr>
              <w:t xml:space="preserve">التصوير والمونتاج، بناء صفحة الهبوط، تجهيز الحسابات والاستهداف، وصياغة العرض والدعوة للتسجيل.</w:t>
            </w:r>
          </w:p>
        </w:tc>
        <w:tc>
          <w:tcPr>
            <w:tcW w:type="dxa" w:w="2400"/>
            <w:shd w:fill="EEF2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F"/>
                <w:sz w:val="22"/>
                <w:szCs w:val="22"/>
                <w:rtl/>
              </w:rPr>
              <w:t xml:space="preserve">الأسبوع الأول</w:t>
            </w:r>
          </w:p>
        </w:tc>
      </w:tr>
      <w:tr>
        <w:tc>
          <w:tcPr>
            <w:tcW w:type="dxa" w:w="66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bidi/>
              <w:spacing w:after="0" w:before="0" w:line="28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  <w:rtl/>
              </w:rPr>
              <w:t xml:space="preserve">إطلاق الإعلانات على المنصات الثلاث، تفعيل محرك واتساب، بدء نشر الريلز، والإعلان عن اليوم المفتوح.</w:t>
            </w:r>
          </w:p>
        </w:tc>
        <w:tc>
          <w:tcPr>
            <w:tcW w:type="dxa" w:w="2400"/>
            <w:shd w:fill="EEF2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F"/>
                <w:sz w:val="22"/>
                <w:szCs w:val="22"/>
                <w:rtl/>
              </w:rPr>
              <w:t xml:space="preserve">الأسبوع الثاني</w:t>
            </w:r>
          </w:p>
        </w:tc>
      </w:tr>
      <w:tr>
        <w:tc>
          <w:tcPr>
            <w:tcW w:type="dxa" w:w="662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bidi/>
              <w:spacing w:after="0" w:before="0" w:line="288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  <w:rtl/>
              </w:rPr>
              <w:t xml:space="preserve">تنفيذ اليوم المفتوح، إعادة الاستهداف، تكثيف المتابعة، وتحسين الأداء بناءً على الأرقام.</w:t>
            </w:r>
          </w:p>
        </w:tc>
        <w:tc>
          <w:tcPr>
            <w:tcW w:type="dxa" w:w="2400"/>
            <w:shd w:fill="EEF2F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F"/>
                <w:sz w:val="22"/>
                <w:szCs w:val="22"/>
                <w:rtl/>
              </w:rPr>
              <w:t xml:space="preserve">الأسبوع الثالث</w:t>
            </w:r>
          </w:p>
        </w:tc>
      </w:tr>
    </w:tbl>
    <w:p>
      <w:pPr>
        <w:pStyle w:val="Heading1"/>
        <w:keepNext/>
        <w:pBdr>
          <w:bottom w:val="single" w:color="C9A227" w:sz="14" w:space="6"/>
        </w:pBdr>
        <w:bidi/>
        <w:spacing w:after="150" w:before="340"/>
        <w:jc w:val="right"/>
      </w:pPr>
      <w:r>
        <w:rPr>
          <w:rFonts w:ascii="Arial" w:cs="Arial" w:eastAsia="Arial" w:hAnsi="Arial"/>
          <w:b/>
          <w:bCs/>
          <w:color w:val="1F3A5F"/>
          <w:sz w:val="28"/>
          <w:szCs w:val="28"/>
          <w:rtl/>
        </w:rPr>
        <w:t xml:space="preserve">سادساً: مؤشرات قياس النجاح</w:t>
      </w:r>
    </w:p>
    <w:p>
      <w:pPr>
        <w:pStyle w:val="ListParagraph"/>
        <w:numPr>
          <w:ilvl w:val="0"/>
          <w:numId w:val="1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مدى الوصول وعدد مرّات الظهور.</w:t>
      </w:r>
    </w:p>
    <w:p>
      <w:pPr>
        <w:pStyle w:val="ListParagraph"/>
        <w:numPr>
          <w:ilvl w:val="0"/>
          <w:numId w:val="1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عدد مشاهدات الفيديو ونسبة إكماله.</w:t>
      </w:r>
    </w:p>
    <w:p>
      <w:pPr>
        <w:pStyle w:val="ListParagraph"/>
        <w:numPr>
          <w:ilvl w:val="0"/>
          <w:numId w:val="1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عدد الليدز (رسائل واتساب / نماذج التسجيل).</w:t>
      </w:r>
    </w:p>
    <w:p>
      <w:pPr>
        <w:pStyle w:val="ListParagraph"/>
        <w:numPr>
          <w:ilvl w:val="0"/>
          <w:numId w:val="1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تكلفة الليد الواحد.</w:t>
      </w:r>
    </w:p>
    <w:p>
      <w:pPr>
        <w:pStyle w:val="ListParagraph"/>
        <w:numPr>
          <w:ilvl w:val="0"/>
          <w:numId w:val="1"/>
        </w:numPr>
        <w:bidi/>
        <w:spacing w:after="130" w:before="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  <w:rtl/>
        </w:rPr>
        <w:t xml:space="preserve">عدد التسجيلات الفعلية — وهو المؤشر الأهم.</w:t>
      </w:r>
    </w:p>
    <w:p>
      <w:pPr>
        <w:pStyle w:val="ListParagraph"/>
        <w:numPr>
          <w:ilvl w:val="0"/>
          <w:numId w:val="1"/>
        </w:numPr>
        <w:bidi/>
        <w:spacing w:after="130" w:before="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تكلفة اكتساب الطالب المسجَّل.</w:t>
      </w:r>
    </w:p>
    <w:p>
      <w:pPr>
        <w:bidi/>
        <w:spacing w:after="130" w:before="80" w:line="32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  <w:rtl/>
        </w:rPr>
        <w:t xml:space="preserve">تُراجَع هذه الأرقام دورياً خلال الحملة لإعادة توجيه الميزانية نحو القنوات الأعلى تحويلاً.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FD8" w:sz="6" w:space="4"/>
      </w:pBdr>
      <w:bidi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  <w:rtl/>
      </w:rPr>
      <w:t xml:space="preserve">مدرسة الفلك المنير — الخطة التسويقية  |  صفحة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star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2026-07-26T19:09:16.668Z</dcterms:created>
  <dcterms:modified xsi:type="dcterms:W3CDTF">2026-07-26T19:09:16.668Z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