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Controls and Compliance Checklist</w:t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Botium Toys — Internal IT Security Audit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Controls Assessment Checklist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Does Botium Toys currently have this control in place?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 Privilege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Disaster Recovery Plans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Policies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Separation of Duties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Intrusion Detection System (IDS)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Antivirus Software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Monitoring, Maintenance, and Intervention for Legacy Systems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Management System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Locks (Offices, Storefront, Warehouse)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Closed-Circuit Television (CCTV) Surveillance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Detection/Prevention (Fire Alarm, Sprinkler System, etc.)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 Checklist</w:t>
      </w:r>
    </w:p>
    <w:p>
      <w:r>
        <w:rPr>
          <w:rFonts w:ascii="Arial" w:cs="Arial" w:eastAsia="Arial" w:hAnsi="Arial"/>
          <w:i/>
          <w:iCs/>
          <w:sz w:val="20"/>
          <w:szCs w:val="20"/>
        </w:rPr>
        <w:t xml:space="preserve">Does Botium Toys currently adhere to this compliance best practice?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Card Industry Data Security Standard (PCI DSS)</w:t>
            </w:r>
          </w:p>
        </w:tc>
      </w:tr>
      <w:tr>
        <w:trPr>
          <w:tblHeader/>
        </w:trPr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authorized users have access to customers' credit card information.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card information is stored, accepted, processed, and transmitted in a secure environment.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procedures are implemented to secure credit card transaction touchpoints and data.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password management policies are adopted.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General Data Protection Regulation (GDPR)</w:t>
            </w:r>
          </w:p>
        </w:tc>
      </w:tr>
      <w:tr>
        <w:trPr>
          <w:tblHeader/>
        </w:trPr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E.U. customers' data is kept private/secured.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is a plan in place to notify E.U. customers within 72 hours if their data is compromised/there is a breach.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is properly classified and inventoried.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policies, procedures, and processes are enforced to properly document and maintain data.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and Organizations Controls (SOC Type 1, SOC Type 2)</w:t>
            </w:r>
          </w:p>
        </w:tc>
      </w:tr>
      <w:tr>
        <w:trPr>
          <w:tblHeader/>
        </w:trPr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656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access policies are established.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NO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Sensitive data (PII/SPII) is confidential/private.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 ensures the data is consistent, complete, accurate, and has been validated.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YES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is available to individuals authorized to access it.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Recommendations</w:t>
      </w:r>
    </w:p>
    <w:p>
      <w:r>
        <w:rPr>
          <w:rFonts w:ascii="Arial" w:cs="Arial" w:eastAsia="Arial" w:hAnsi="Arial"/>
          <w:sz w:val="20"/>
          <w:szCs w:val="20"/>
        </w:rPr>
        <w:t xml:space="preserve">The following prioritized recommendations should be communicated to stakeholders to reduce risk and improve Botium Toys' security posture: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Implement Least Privilege &amp; Separation of Duties: Restrict employee access to only the data required for their role. No employee should have default access to cardholder data or PII/SPII.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Deploy Encryption: Immediately encrypt customers' credit card data at rest and in transit to satisfy both PCI DSS and GDPR requirements — this is the highest-priority gap.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Establish Disaster Recovery &amp; Backup Plans: Create and test a formal disaster recovery plan and begin regular automated backups of critical data to ensure business continuity.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Install an Intrusion Detection System (IDS): Add an IDS to complement the existing firewall and antivirus software, enabling detection of anomalous traffic or insider threats.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Strengthen Password Policies &amp; Deploy a Password Manager: Update the password policy to meet modern complexity requirements and roll out a centralized password management system to reduce reset tickets and enforce compliance.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Formalize Legacy System Maintenance: Establish a documented, regular schedule for monitoring and maintaining end-of-life systems with clear intervention procedures.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Classify &amp; Inventory All Assets (GDPR/SOC): Conduct a full data classification exercise to know exactly which assets hold PII/SPII, supporting GDPR compliance and SOC type 1/2 user-access policy requirements.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2026-05-13T17:14:05.168Z</dcterms:created>
  <dcterms:modified xsi:type="dcterms:W3CDTF">2026-05-13T17:14:05.168Z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