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ECCA6" w14:textId="77777777" w:rsidR="00046F41" w:rsidRDefault="00000FA0">
      <w:pPr>
        <w:spacing w:before="20" w:after="8"/>
      </w:pPr>
      <w:r>
        <w:rPr>
          <w:rFonts w:eastAsia="Calibri" w:cs="Calibri"/>
          <w:b/>
          <w:bCs/>
          <w:color w:val="0B1F3A"/>
          <w:sz w:val="32"/>
          <w:szCs w:val="32"/>
        </w:rPr>
        <w:t>Suggested graduation projects</w:t>
      </w:r>
    </w:p>
    <w:p w14:paraId="03EDC91C" w14:textId="5369BC6A" w:rsidR="00046F41" w:rsidRDefault="00000FA0">
      <w:pPr>
        <w:spacing w:after="12"/>
      </w:pPr>
      <w:r>
        <w:rPr>
          <w:rFonts w:eastAsia="Calibri" w:cs="Calibri"/>
          <w:color w:val="B8952C"/>
          <w:sz w:val="19"/>
          <w:szCs w:val="19"/>
        </w:rPr>
        <w:t xml:space="preserve">Ten AI theses  </w:t>
      </w:r>
    </w:p>
    <w:p w14:paraId="2288DB69" w14:textId="51AE2359" w:rsidR="009E2DA8" w:rsidRDefault="009E2DA8">
      <w:pPr>
        <w:spacing w:after="140"/>
        <w:rPr>
          <w:rFonts w:eastAsia="Calibri" w:cs="Calibri"/>
          <w:sz w:val="19"/>
          <w:szCs w:val="19"/>
        </w:rPr>
      </w:pPr>
      <w:r>
        <w:rPr>
          <w:rFonts w:eastAsia="Calibri" w:cs="Calibri"/>
          <w:sz w:val="19"/>
          <w:szCs w:val="19"/>
        </w:rPr>
        <w:t>Presented by: Dr. Ahmed Saied.</w:t>
      </w:r>
    </w:p>
    <w:p w14:paraId="25081781" w14:textId="77777777" w:rsidR="009E2DA8" w:rsidRDefault="009E2DA8">
      <w:pPr>
        <w:spacing w:after="140"/>
      </w:pPr>
    </w:p>
    <w:tbl>
      <w:tblPr>
        <w:tblW w:w="5000" w:type="pct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61"/>
        <w:gridCol w:w="1800"/>
        <w:gridCol w:w="2758"/>
        <w:gridCol w:w="2290"/>
        <w:gridCol w:w="1977"/>
      </w:tblGrid>
      <w:tr w:rsidR="00046F41" w:rsidRPr="009E2DA8" w14:paraId="0C60A0D3" w14:textId="77777777" w:rsidTr="009E2DA8">
        <w:tblPrEx>
          <w:tblCellMar>
            <w:top w:w="0" w:type="dxa"/>
            <w:bottom w:w="0" w:type="dxa"/>
          </w:tblCellMar>
        </w:tblPrEx>
        <w:tc>
          <w:tcPr>
            <w:tcW w:w="536" w:type="pct"/>
            <w:shd w:val="clear" w:color="auto" w:fill="0B1F3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D6A07F4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color w:val="FFFFFF"/>
                <w:sz w:val="18"/>
                <w:szCs w:val="18"/>
              </w:rPr>
              <w:t>Theme</w:t>
            </w:r>
          </w:p>
        </w:tc>
        <w:tc>
          <w:tcPr>
            <w:tcW w:w="910" w:type="pct"/>
            <w:shd w:val="clear" w:color="auto" w:fill="0B1F3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7BFCF0B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color w:val="FFFFFF"/>
                <w:sz w:val="18"/>
                <w:szCs w:val="18"/>
              </w:rPr>
              <w:t>Project</w:t>
            </w:r>
          </w:p>
        </w:tc>
        <w:tc>
          <w:tcPr>
            <w:tcW w:w="1395" w:type="pct"/>
            <w:shd w:val="clear" w:color="auto" w:fill="0B1F3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476A3B3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color w:val="FFFFFF"/>
                <w:sz w:val="18"/>
                <w:szCs w:val="18"/>
              </w:rPr>
              <w:t>What the AI does</w:t>
            </w:r>
          </w:p>
        </w:tc>
        <w:tc>
          <w:tcPr>
            <w:tcW w:w="1158" w:type="pct"/>
            <w:shd w:val="clear" w:color="auto" w:fill="0B1F3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672E789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color w:val="FFFFFF"/>
                <w:sz w:val="18"/>
                <w:szCs w:val="18"/>
              </w:rPr>
              <w:t>Outcome (the test)</w:t>
            </w:r>
          </w:p>
        </w:tc>
        <w:tc>
          <w:tcPr>
            <w:tcW w:w="1000" w:type="pct"/>
            <w:shd w:val="clear" w:color="auto" w:fill="0B1F3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12966FB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color w:val="FFFFFF"/>
                <w:sz w:val="18"/>
                <w:szCs w:val="18"/>
              </w:rPr>
              <w:t>Impact</w:t>
            </w:r>
          </w:p>
        </w:tc>
      </w:tr>
      <w:tr w:rsidR="00046F41" w:rsidRPr="009E2DA8" w14:paraId="7ECBC906" w14:textId="77777777" w:rsidTr="009E2DA8">
        <w:tblPrEx>
          <w:tblCellMar>
            <w:top w:w="0" w:type="dxa"/>
            <w:bottom w:w="0" w:type="dxa"/>
          </w:tblCellMar>
        </w:tblPrEx>
        <w:tc>
          <w:tcPr>
            <w:tcW w:w="536" w:type="pct"/>
            <w:shd w:val="clear" w:color="auto" w:fill="EEF2F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20678DE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Assistants</w:t>
            </w:r>
          </w:p>
        </w:tc>
        <w:tc>
          <w:tcPr>
            <w:tcW w:w="910" w:type="pct"/>
            <w:shd w:val="clear" w:color="auto" w:fill="EEF2F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D57E204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Grounded copilot (cite or stay silent)</w:t>
            </w:r>
          </w:p>
        </w:tc>
        <w:tc>
          <w:tcPr>
            <w:tcW w:w="1395" w:type="pct"/>
            <w:shd w:val="clear" w:color="auto" w:fill="EEF2F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F86BFF2" w14:textId="5C378AAF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 xml:space="preserve">A domain assistant that may speak a fact only if it can point to a retrieved passage or a host field. This is </w:t>
            </w:r>
            <w:r w:rsidR="009E2DA8">
              <w:rPr>
                <w:rFonts w:eastAsia="Calibri" w:cs="Calibri"/>
                <w:sz w:val="18"/>
                <w:szCs w:val="18"/>
              </w:rPr>
              <w:t>based on</w:t>
            </w:r>
            <w:r w:rsidRPr="009E2DA8">
              <w:rPr>
                <w:rFonts w:eastAsia="Calibri" w:cs="Calibri"/>
                <w:sz w:val="18"/>
                <w:szCs w:val="18"/>
              </w:rPr>
              <w:t xml:space="preserve"> RAG / grounded-QA line.</w:t>
            </w:r>
          </w:p>
        </w:tc>
        <w:tc>
          <w:tcPr>
            <w:tcW w:w="1158" w:type="pct"/>
            <w:shd w:val="clear" w:color="auto" w:fill="EEF2F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F7E7091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On a frozen question set: extra-fact rate under a declared cap. Empty store → refuse. Ordinary search-and-summarise invents more.</w:t>
            </w:r>
          </w:p>
        </w:tc>
        <w:tc>
          <w:tcPr>
            <w:tcW w:w="1000" w:type="pct"/>
            <w:shd w:val="clear" w:color="auto" w:fill="EEF2F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0B159B9" w14:textId="59D042C0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Every enterprise copilot fails this. Pulse grounding layer and campus / Moodle files are the host.</w:t>
            </w:r>
          </w:p>
        </w:tc>
      </w:tr>
      <w:tr w:rsidR="00046F41" w:rsidRPr="009E2DA8" w14:paraId="3E866B91" w14:textId="77777777" w:rsidTr="009E2DA8">
        <w:tblPrEx>
          <w:tblCellMar>
            <w:top w:w="0" w:type="dxa"/>
            <w:bottom w:w="0" w:type="dxa"/>
          </w:tblCellMar>
        </w:tblPrEx>
        <w:tc>
          <w:tcPr>
            <w:tcW w:w="536" w:type="pct"/>
            <w:shd w:val="clear" w:color="auto" w:fill="EEF2F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AEBDB92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Agents</w:t>
            </w:r>
          </w:p>
        </w:tc>
        <w:tc>
          <w:tcPr>
            <w:tcW w:w="910" w:type="pct"/>
            <w:shd w:val="clear" w:color="auto" w:fill="EEF2F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5535B8F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Tool agent under hu</w:t>
            </w: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man control</w:t>
            </w:r>
          </w:p>
        </w:tc>
        <w:tc>
          <w:tcPr>
            <w:tcW w:w="1395" w:type="pct"/>
            <w:shd w:val="clear" w:color="auto" w:fill="EEF2F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9EC6FF8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A tool-using agent that can stage a write and must wait for a person. ETH’s safety group calls this control and oversight. Stanford CS224N is full of agents that do not do what they think.</w:t>
            </w:r>
          </w:p>
        </w:tc>
        <w:tc>
          <w:tcPr>
            <w:tcW w:w="1158" w:type="pct"/>
            <w:shd w:val="clear" w:color="auto" w:fill="EEF2F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E9029AE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Zero unconfirmed host writes on a planted attack set (≥</w:t>
            </w:r>
            <w:r w:rsidRPr="009E2DA8">
              <w:rPr>
                <w:rFonts w:eastAsia="Calibri" w:cs="Calibri"/>
                <w:sz w:val="18"/>
                <w:szCs w:val="18"/>
              </w:rPr>
              <w:t>100 tries, including injections).</w:t>
            </w:r>
          </w:p>
        </w:tc>
        <w:tc>
          <w:tcPr>
            <w:tcW w:w="1000" w:type="pct"/>
            <w:shd w:val="clear" w:color="auto" w:fill="EEF2F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B9BAE9D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This is the 2026 agent problem. Your Chat ≠ Agent split is the teaching design.</w:t>
            </w:r>
          </w:p>
        </w:tc>
      </w:tr>
      <w:tr w:rsidR="00046F41" w:rsidRPr="009E2DA8" w14:paraId="1F13EAD9" w14:textId="77777777" w:rsidTr="009E2DA8">
        <w:tblPrEx>
          <w:tblCellMar>
            <w:top w:w="0" w:type="dxa"/>
            <w:bottom w:w="0" w:type="dxa"/>
          </w:tblCellMar>
        </w:tblPrEx>
        <w:tc>
          <w:tcPr>
            <w:tcW w:w="536" w:type="pct"/>
            <w:shd w:val="clear" w:color="auto" w:fill="E8F0E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5D96BCC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Evaluation</w:t>
            </w:r>
          </w:p>
        </w:tc>
        <w:tc>
          <w:tcPr>
            <w:tcW w:w="910" w:type="pct"/>
            <w:shd w:val="clear" w:color="auto" w:fill="E8F0E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1094DF2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Red-team and rubric eval as the thesis</w:t>
            </w:r>
          </w:p>
        </w:tc>
        <w:tc>
          <w:tcPr>
            <w:tcW w:w="1395" w:type="pct"/>
            <w:shd w:val="clear" w:color="auto" w:fill="E8F0E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D0018C7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Build the test, not another chatbot. Automated red-team (ETH) plus a human rubric that an L</w:t>
            </w:r>
            <w:r w:rsidRPr="009E2DA8">
              <w:rPr>
                <w:rFonts w:eastAsia="Calibri" w:cs="Calibri"/>
                <w:sz w:val="18"/>
                <w:szCs w:val="18"/>
              </w:rPr>
              <w:t>LM-as-judge must match (Stanford RubricEval).</w:t>
            </w:r>
          </w:p>
        </w:tc>
        <w:tc>
          <w:tcPr>
            <w:tcW w:w="1158" w:type="pct"/>
            <w:shd w:val="clear" w:color="auto" w:fill="E8F0E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7C3584C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Known-bad prompts fail. A stub cannot raise the score. Agreement with two human raters is reported.</w:t>
            </w:r>
          </w:p>
        </w:tc>
        <w:tc>
          <w:tcPr>
            <w:tcW w:w="1000" w:type="pct"/>
            <w:shd w:val="clear" w:color="auto" w:fill="E8F0E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C1F1276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The most transferable AI skill. Your Pulse goldens and aast-med L0–L5 banks are the first corpus.</w:t>
            </w:r>
          </w:p>
        </w:tc>
      </w:tr>
      <w:tr w:rsidR="00046F41" w:rsidRPr="009E2DA8" w14:paraId="30E599E7" w14:textId="77777777" w:rsidTr="009E2DA8">
        <w:tblPrEx>
          <w:tblCellMar>
            <w:top w:w="0" w:type="dxa"/>
            <w:bottom w:w="0" w:type="dxa"/>
          </w:tblCellMar>
        </w:tblPrEx>
        <w:tc>
          <w:tcPr>
            <w:tcW w:w="536" w:type="pct"/>
            <w:shd w:val="clear" w:color="auto" w:fill="E8F0E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A25403A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Education</w:t>
            </w:r>
          </w:p>
        </w:tc>
        <w:tc>
          <w:tcPr>
            <w:tcW w:w="910" w:type="pct"/>
            <w:shd w:val="clear" w:color="auto" w:fill="E8F0E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21DD027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C</w:t>
            </w: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ourse-grounded AI tutor</w:t>
            </w:r>
          </w:p>
        </w:tc>
        <w:tc>
          <w:tcPr>
            <w:tcW w:w="1395" w:type="pct"/>
            <w:shd w:val="clear" w:color="auto" w:fill="E8F0E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CC75544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An assistant over one real course: answers from the current materials only. Will not write the assignment. Stanford’s EDU-RAG and “pedagogically grounded reasoning” projects are this problem.</w:t>
            </w:r>
          </w:p>
        </w:tc>
        <w:tc>
          <w:tcPr>
            <w:tcW w:w="1158" w:type="pct"/>
            <w:shd w:val="clear" w:color="auto" w:fill="E8F0E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61ED729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Citation of a real passage meets a declared bar on two shortnames. Assignment-write probes refused 100%.</w:t>
            </w:r>
          </w:p>
        </w:tc>
        <w:tc>
          <w:tcPr>
            <w:tcW w:w="1000" w:type="pct"/>
            <w:shd w:val="clear" w:color="auto" w:fill="E8F0E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8312859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Scales to a whole LMS. Medicine Moodle Ask is already the live host.</w:t>
            </w:r>
          </w:p>
        </w:tc>
      </w:tr>
      <w:tr w:rsidR="00046F41" w:rsidRPr="009E2DA8" w14:paraId="1D4ED659" w14:textId="77777777" w:rsidTr="009E2DA8">
        <w:tblPrEx>
          <w:tblCellMar>
            <w:top w:w="0" w:type="dxa"/>
            <w:bottom w:w="0" w:type="dxa"/>
          </w:tblCellMar>
        </w:tblPrEx>
        <w:tc>
          <w:tcPr>
            <w:tcW w:w="536" w:type="pct"/>
            <w:shd w:val="clear" w:color="auto" w:fill="F7F5E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34DF5E7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Medical AI</w:t>
            </w:r>
          </w:p>
        </w:tc>
        <w:tc>
          <w:tcPr>
            <w:tcW w:w="910" w:type="pct"/>
            <w:shd w:val="clear" w:color="auto" w:fill="F7F5E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0DF8799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Teach, do not treat</w:t>
            </w:r>
          </w:p>
        </w:tc>
        <w:tc>
          <w:tcPr>
            <w:tcW w:w="1395" w:type="pct"/>
            <w:shd w:val="clear" w:color="auto" w:fill="F7F5E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A61A29D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 xml:space="preserve">A staff-facing medical assistant: may cite a teaching safety list. Must refuse “what dose </w:t>
            </w:r>
            <w:r w:rsidRPr="009E2DA8">
              <w:rPr>
                <w:rFonts w:eastAsia="Calibri" w:cs="Calibri"/>
                <w:sz w:val="18"/>
                <w:szCs w:val="18"/>
              </w:rPr>
              <w:t>for this patient”. CS224G lists Law &amp; Medicine as a first-class area; CS224N has medical sycophancy and safety work.</w:t>
            </w:r>
          </w:p>
        </w:tc>
        <w:tc>
          <w:tcPr>
            <w:tcW w:w="1158" w:type="pct"/>
            <w:shd w:val="clear" w:color="auto" w:fill="F7F5E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EA85D6B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Care items refused 100%. Teaching items cited to a doctor-frozen list. A chatty clinical model fails the same bank.</w:t>
            </w:r>
          </w:p>
        </w:tc>
        <w:tc>
          <w:tcPr>
            <w:tcW w:w="1000" w:type="pct"/>
            <w:shd w:val="clear" w:color="auto" w:fill="F7F5E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C14996D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Doctors will supervise this. Your contraindication line and staff Ask contract are the seed. Not a device.</w:t>
            </w:r>
          </w:p>
        </w:tc>
      </w:tr>
      <w:tr w:rsidR="00046F41" w:rsidRPr="009E2DA8" w14:paraId="3EAE9C19" w14:textId="77777777" w:rsidTr="009E2DA8">
        <w:tblPrEx>
          <w:tblCellMar>
            <w:top w:w="0" w:type="dxa"/>
            <w:bottom w:w="0" w:type="dxa"/>
          </w:tblCellMar>
        </w:tblPrEx>
        <w:tc>
          <w:tcPr>
            <w:tcW w:w="536" w:type="pct"/>
            <w:shd w:val="clear" w:color="auto" w:fill="E8F0E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481CF73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Education</w:t>
            </w:r>
          </w:p>
        </w:tc>
        <w:tc>
          <w:tcPr>
            <w:tcW w:w="910" w:type="pct"/>
            <w:shd w:val="clear" w:color="auto" w:fill="E8F0E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30054AE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Span-grounded rubric scoring</w:t>
            </w:r>
          </w:p>
        </w:tc>
        <w:tc>
          <w:tcPr>
            <w:tcW w:w="1395" w:type="pct"/>
            <w:shd w:val="clear" w:color="auto" w:fill="E8F0E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EBD7240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Score a student note against a rubric: a point needs a supporting span. Negation must not score. Stanford RubricEval + clinician-in-</w:t>
            </w:r>
            <w:r w:rsidRPr="009E2DA8">
              <w:rPr>
                <w:rFonts w:eastAsia="Calibri" w:cs="Calibri"/>
                <w:sz w:val="18"/>
                <w:szCs w:val="18"/>
              </w:rPr>
              <w:t>the-loop (CMU HCI) is the academic frame.</w:t>
            </w:r>
          </w:p>
        </w:tc>
        <w:tc>
          <w:tcPr>
            <w:tcW w:w="1158" w:type="pct"/>
            <w:shd w:val="clear" w:color="auto" w:fill="E8F0E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4D4CF54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Beats keyword matching on negation. κ with a doctor on a double-marked sample.</w:t>
            </w:r>
          </w:p>
        </w:tc>
        <w:tc>
          <w:tcPr>
            <w:tcW w:w="1000" w:type="pct"/>
            <w:shd w:val="clear" w:color="auto" w:fill="E8F0E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3228754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Assessment AI examiners will accept. Your GradeVance OSCE pack is the baseline that already exists.</w:t>
            </w:r>
          </w:p>
        </w:tc>
      </w:tr>
      <w:tr w:rsidR="00046F41" w:rsidRPr="009E2DA8" w14:paraId="32135178" w14:textId="77777777" w:rsidTr="009E2DA8">
        <w:tblPrEx>
          <w:tblCellMar>
            <w:top w:w="0" w:type="dxa"/>
            <w:bottom w:w="0" w:type="dxa"/>
          </w:tblCellMar>
        </w:tblPrEx>
        <w:tc>
          <w:tcPr>
            <w:tcW w:w="536" w:type="pct"/>
            <w:shd w:val="clear" w:color="auto" w:fill="F7F5E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BA74B37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Medical AI</w:t>
            </w:r>
          </w:p>
        </w:tc>
        <w:tc>
          <w:tcPr>
            <w:tcW w:w="910" w:type="pct"/>
            <w:shd w:val="clear" w:color="auto" w:fill="F7F5E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BFD588A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Structured extraction from teaching notes</w:t>
            </w:r>
          </w:p>
        </w:tc>
        <w:tc>
          <w:tcPr>
            <w:tcW w:w="1395" w:type="pct"/>
            <w:shd w:val="clear" w:color="auto" w:fill="F7F5E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13AA4FC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Turn a teaching prescri</w:t>
            </w:r>
            <w:r w:rsidRPr="009E2DA8">
              <w:rPr>
                <w:rFonts w:eastAsia="Calibri" w:cs="Calibri"/>
                <w:sz w:val="18"/>
                <w:szCs w:val="18"/>
              </w:rPr>
              <w:t>ption or discharge into slots or codes. No slot without a phrase in the note. CS224G “data extraction”; CS224N clinical NER/RE — on teaching gold, not EHR.</w:t>
            </w:r>
          </w:p>
        </w:tc>
        <w:tc>
          <w:tcPr>
            <w:tcW w:w="1158" w:type="pct"/>
            <w:shd w:val="clear" w:color="auto" w:fill="F7F5E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1D84550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Slot / code accuracy vs double-annotated gold. Invented slots = 0.</w:t>
            </w:r>
          </w:p>
        </w:tc>
        <w:tc>
          <w:tcPr>
            <w:tcW w:w="1000" w:type="pct"/>
            <w:shd w:val="clear" w:color="auto" w:fill="F7F5E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0E81250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The NLP task hospitals later buy. Your encoding and completeness packs are the teaching stand-in.</w:t>
            </w:r>
          </w:p>
        </w:tc>
      </w:tr>
      <w:tr w:rsidR="00046F41" w:rsidRPr="009E2DA8" w14:paraId="2FC66EDC" w14:textId="77777777" w:rsidTr="009E2DA8">
        <w:tblPrEx>
          <w:tblCellMar>
            <w:top w:w="0" w:type="dxa"/>
            <w:bottom w:w="0" w:type="dxa"/>
          </w:tblCellMar>
        </w:tblPrEx>
        <w:tc>
          <w:tcPr>
            <w:tcW w:w="536" w:type="pct"/>
            <w:shd w:val="clear" w:color="auto" w:fill="EEF2F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A292A3C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Assistants</w:t>
            </w:r>
          </w:p>
        </w:tc>
        <w:tc>
          <w:tcPr>
            <w:tcW w:w="910" w:type="pct"/>
            <w:shd w:val="clear" w:color="auto" w:fill="EEF2F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845F7C6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Arabic–English grounded generation</w:t>
            </w:r>
          </w:p>
        </w:tc>
        <w:tc>
          <w:tcPr>
            <w:tcW w:w="1395" w:type="pct"/>
            <w:shd w:val="clear" w:color="auto" w:fill="EEF2F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F3F0E57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Same facts, both languages. An Arabic question must not be answered from an English paraphrase the model invented. Stanford CS224N has cross-lingual grounded-structure work; MENA data is scarce.</w:t>
            </w:r>
          </w:p>
        </w:tc>
        <w:tc>
          <w:tcPr>
            <w:tcW w:w="1158" w:type="pct"/>
            <w:shd w:val="clear" w:color="auto" w:fill="EEF2F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1160E47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Language match ≥98%. Every number still cited. English-only pipeline fails the Arabic bank.</w:t>
            </w:r>
          </w:p>
        </w:tc>
        <w:tc>
          <w:tcPr>
            <w:tcW w:w="1000" w:type="pct"/>
            <w:shd w:val="clear" w:color="auto" w:fill="EEF2F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62E7836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Publishable and regional. Your Pulse bilingual operator path is the seed.</w:t>
            </w:r>
          </w:p>
        </w:tc>
      </w:tr>
      <w:tr w:rsidR="00046F41" w:rsidRPr="009E2DA8" w14:paraId="1DE80DD7" w14:textId="77777777" w:rsidTr="009E2DA8">
        <w:tblPrEx>
          <w:tblCellMar>
            <w:top w:w="0" w:type="dxa"/>
            <w:bottom w:w="0" w:type="dxa"/>
          </w:tblCellMar>
        </w:tblPrEx>
        <w:tc>
          <w:tcPr>
            <w:tcW w:w="536" w:type="pct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A97AD16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Engineering</w:t>
            </w:r>
          </w:p>
        </w:tc>
        <w:tc>
          <w:tcPr>
            <w:tcW w:w="910" w:type="pct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7D8038D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Leak-free forecast under delayed sensors</w:t>
            </w:r>
          </w:p>
        </w:tc>
        <w:tc>
          <w:tcPr>
            <w:tcW w:w="1395" w:type="pct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50D1AE8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Multi-horizon forecast when last actuals arrive late. Must not use the future to predict the futu</w:t>
            </w:r>
            <w:r w:rsidRPr="009E2DA8">
              <w:rPr>
                <w:rFonts w:eastAsia="Calibri" w:cs="Calibri"/>
                <w:sz w:val="18"/>
                <w:szCs w:val="18"/>
              </w:rPr>
              <w:t>re. This is the load-forecasting literature, not a UCI homework series.</w:t>
            </w:r>
          </w:p>
        </w:tc>
        <w:tc>
          <w:tcPr>
            <w:tcW w:w="1158" w:type="pct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2CDF23A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Beats a recursive baseline on a leak-free holdout. Examiner can replay the cutoff.</w:t>
            </w:r>
          </w:p>
        </w:tc>
        <w:tc>
          <w:tcPr>
            <w:tcW w:w="1000" w:type="pct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1D25A89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The method is general (grid, plant, water, campus). Your Gigacast engines and a public series if the campus licence is late.</w:t>
            </w:r>
          </w:p>
        </w:tc>
      </w:tr>
      <w:tr w:rsidR="00046F41" w:rsidRPr="009E2DA8" w14:paraId="2239E697" w14:textId="77777777" w:rsidTr="009E2DA8">
        <w:tblPrEx>
          <w:tblCellMar>
            <w:top w:w="0" w:type="dxa"/>
            <w:bottom w:w="0" w:type="dxa"/>
          </w:tblCellMar>
        </w:tblPrEx>
        <w:tc>
          <w:tcPr>
            <w:tcW w:w="536" w:type="pct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A67C34D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lastRenderedPageBreak/>
              <w:t>Engineering</w:t>
            </w:r>
          </w:p>
        </w:tc>
        <w:tc>
          <w:tcPr>
            <w:tcW w:w="910" w:type="pct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9BC44C7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b/>
                <w:bCs/>
                <w:sz w:val="18"/>
                <w:szCs w:val="18"/>
              </w:rPr>
              <w:t>Conformal forecast that abstains</w:t>
            </w:r>
          </w:p>
        </w:tc>
        <w:tc>
          <w:tcPr>
            <w:tcW w:w="1395" w:type="pct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6A75E09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Same series, with conformal / selective prediction — the 2024–25 PoliMi and load-forecasting thesis line. Coverage must hold when data is stale or the day is a holiday.</w:t>
            </w:r>
          </w:p>
        </w:tc>
        <w:tc>
          <w:tcPr>
            <w:tcW w:w="1158" w:type="pct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DCF4DA5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Coverage within a</w:t>
            </w:r>
            <w:r w:rsidRPr="009E2DA8">
              <w:rPr>
                <w:rFonts w:eastAsia="Calibri" w:cs="Calibri"/>
                <w:sz w:val="18"/>
                <w:szCs w:val="18"/>
              </w:rPr>
              <w:t xml:space="preserve"> declared band of nominal on hard windows. Softmax-as-confidence fails.</w:t>
            </w:r>
          </w:p>
        </w:tc>
        <w:tc>
          <w:tcPr>
            <w:tcW w:w="1000" w:type="pct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4E28CA2" w14:textId="77777777" w:rsidR="00046F41" w:rsidRPr="009E2DA8" w:rsidRDefault="00000FA0">
            <w:pPr>
              <w:spacing w:after="0" w:line="230" w:lineRule="auto"/>
              <w:rPr>
                <w:sz w:val="18"/>
                <w:szCs w:val="18"/>
              </w:rPr>
            </w:pPr>
            <w:r w:rsidRPr="009E2DA8">
              <w:rPr>
                <w:rFonts w:eastAsia="Calibri" w:cs="Calibri"/>
                <w:sz w:val="18"/>
                <w:szCs w:val="18"/>
              </w:rPr>
              <w:t>Operators pay for “I do not know”. Your Gigacast uncertainty / XAI line is the lab.</w:t>
            </w:r>
          </w:p>
        </w:tc>
      </w:tr>
    </w:tbl>
    <w:p w14:paraId="224FEA20" w14:textId="77777777" w:rsidR="00A95603" w:rsidRDefault="00A95603"/>
    <w:sectPr w:rsidR="00A95603">
      <w:footerReference w:type="default" r:id="rId6"/>
      <w:pgSz w:w="11906" w:h="16838"/>
      <w:pgMar w:top="1360" w:right="1080" w:bottom="1200" w:left="1080" w:header="520" w:footer="5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BCAA3" w14:textId="77777777" w:rsidR="00000FA0" w:rsidRDefault="00000FA0">
      <w:pPr>
        <w:spacing w:after="0" w:line="240" w:lineRule="auto"/>
      </w:pPr>
      <w:r>
        <w:separator/>
      </w:r>
    </w:p>
  </w:endnote>
  <w:endnote w:type="continuationSeparator" w:id="0">
    <w:p w14:paraId="1A23A6E5" w14:textId="77777777" w:rsidR="00000FA0" w:rsidRDefault="00000F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D8FAE" w14:textId="77777777" w:rsidR="00046F41" w:rsidRDefault="00000FA0">
    <w:pPr>
      <w:pBdr>
        <w:top w:val="single" w:sz="6" w:space="4" w:color="D0D5DD"/>
      </w:pBdr>
      <w:tabs>
        <w:tab w:val="right" w:pos="9746"/>
      </w:tabs>
      <w:spacing w:before="60"/>
    </w:pPr>
    <w:r>
      <w:rPr>
        <w:rFonts w:eastAsia="Calibri" w:cs="Calibri"/>
        <w:color w:val="4A5560"/>
        <w:sz w:val="13"/>
        <w:szCs w:val="13"/>
      </w:rPr>
      <w:t>AI first  ·  Teaching data only  ·  Not a medical device</w:t>
    </w:r>
    <w:r>
      <w:rPr>
        <w:rFonts w:eastAsia="Calibri" w:cs="Calibri"/>
        <w:color w:val="4A5560"/>
        <w:sz w:val="13"/>
        <w:szCs w:val="13"/>
      </w:rPr>
      <w:tab/>
      <w:t>Page</w:t>
    </w:r>
    <w:r>
      <w:rPr>
        <w:rFonts w:eastAsia="Calibri" w:cs="Calibri"/>
        <w:color w:val="4A5560"/>
        <w:sz w:val="13"/>
        <w:szCs w:val="13"/>
      </w:rPr>
      <w:fldChar w:fldCharType="begin"/>
    </w:r>
    <w:r>
      <w:rPr>
        <w:rFonts w:eastAsia="Calibri" w:cs="Calibri"/>
        <w:color w:val="4A5560"/>
        <w:sz w:val="13"/>
        <w:szCs w:val="13"/>
      </w:rPr>
      <w:instrText xml:space="preserve"> PAGE </w:instrText>
    </w:r>
    <w:r w:rsidR="009E2DA8">
      <w:rPr>
        <w:rFonts w:eastAsia="Calibri" w:cs="Calibri"/>
        <w:color w:val="4A5560"/>
        <w:sz w:val="13"/>
        <w:szCs w:val="13"/>
      </w:rPr>
      <w:fldChar w:fldCharType="separate"/>
    </w:r>
    <w:r w:rsidR="009E2DA8">
      <w:rPr>
        <w:rFonts w:eastAsia="Calibri" w:cs="Calibri"/>
        <w:noProof/>
        <w:color w:val="4A5560"/>
        <w:sz w:val="13"/>
        <w:szCs w:val="13"/>
      </w:rPr>
      <w:t>1</w:t>
    </w:r>
    <w:r>
      <w:rPr>
        <w:rFonts w:eastAsia="Calibri" w:cs="Calibri"/>
        <w:color w:val="4A5560"/>
        <w:sz w:val="13"/>
        <w:szCs w:val="13"/>
      </w:rPr>
      <w:fldChar w:fldCharType="end"/>
    </w:r>
    <w:r>
      <w:rPr>
        <w:rFonts w:eastAsia="Calibri" w:cs="Calibri"/>
        <w:color w:val="4A5560"/>
        <w:sz w:val="13"/>
        <w:szCs w:val="13"/>
      </w:rPr>
      <w:t>of</w:t>
    </w:r>
    <w:r>
      <w:rPr>
        <w:rFonts w:eastAsia="Calibri" w:cs="Calibri"/>
        <w:color w:val="4A5560"/>
        <w:sz w:val="13"/>
        <w:szCs w:val="13"/>
      </w:rPr>
      <w:fldChar w:fldCharType="begin"/>
    </w:r>
    <w:r>
      <w:rPr>
        <w:rFonts w:eastAsia="Calibri" w:cs="Calibri"/>
        <w:color w:val="4A5560"/>
        <w:sz w:val="13"/>
        <w:szCs w:val="13"/>
      </w:rPr>
      <w:instrText xml:space="preserve"> NUMPAGES </w:instrText>
    </w:r>
    <w:r w:rsidR="009E2DA8">
      <w:rPr>
        <w:rFonts w:eastAsia="Calibri" w:cs="Calibri"/>
        <w:color w:val="4A5560"/>
        <w:sz w:val="13"/>
        <w:szCs w:val="13"/>
      </w:rPr>
      <w:fldChar w:fldCharType="separate"/>
    </w:r>
    <w:r w:rsidR="009E2DA8">
      <w:rPr>
        <w:rFonts w:eastAsia="Calibri" w:cs="Calibri"/>
        <w:noProof/>
        <w:color w:val="4A5560"/>
        <w:sz w:val="13"/>
        <w:szCs w:val="13"/>
      </w:rPr>
      <w:t>2</w:t>
    </w:r>
    <w:r>
      <w:rPr>
        <w:rFonts w:eastAsia="Calibri" w:cs="Calibri"/>
        <w:color w:val="4A5560"/>
        <w:sz w:val="13"/>
        <w:szCs w:val="13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26492" w14:textId="77777777" w:rsidR="00000FA0" w:rsidRDefault="00000FA0">
      <w:pPr>
        <w:spacing w:after="0" w:line="240" w:lineRule="auto"/>
      </w:pPr>
      <w:r>
        <w:separator/>
      </w:r>
    </w:p>
  </w:footnote>
  <w:footnote w:type="continuationSeparator" w:id="0">
    <w:p w14:paraId="304C1EC8" w14:textId="77777777" w:rsidR="00000FA0" w:rsidRDefault="00000FA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46F41"/>
    <w:rsid w:val="00000FA0"/>
    <w:rsid w:val="00046F41"/>
    <w:rsid w:val="009E2DA8"/>
    <w:rsid w:val="00A95603"/>
    <w:rsid w:val="00B73F09"/>
    <w:rsid w:val="00BD4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3F28D1"/>
  <w15:docId w15:val="{F32608B5-029A-4EC7-ADC6-F2E043D50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Arial"/>
        <w:color w:val="1C2430"/>
        <w:sz w:val="22"/>
        <w:szCs w:val="22"/>
        <w:lang w:val="en-US" w:eastAsia="en-US" w:bidi="ar-SA"/>
      </w:rPr>
    </w:rPrDefault>
    <w:pPrDefault>
      <w:pPr>
        <w:spacing w:after="1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E2D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2DA8"/>
  </w:style>
  <w:style w:type="paragraph" w:styleId="Footer">
    <w:name w:val="footer"/>
    <w:basedOn w:val="Normal"/>
    <w:link w:val="FooterChar"/>
    <w:uiPriority w:val="99"/>
    <w:unhideWhenUsed/>
    <w:rsid w:val="009E2D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2D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630</Words>
  <Characters>3595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 proposal for this year’s graduation projects — three studios</vt:lpstr>
    </vt:vector>
  </TitlesOfParts>
  <Company>Arab Academy for Science, Technology &amp; Maritime Transport</Company>
  <LinksUpToDate>false</LinksUpToDate>
  <CharactersWithSpaces>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proposal for this year’s graduation projects — three studios</dc:title>
  <dc:subject>College of AI, AASTMT Alamein</dc:subject>
  <dc:creator>Dr. Ahmed, College of Medicine, AASTMT</dc:creator>
  <cp:keywords/>
  <dc:description/>
  <cp:lastModifiedBy>Dr. Ahmed S. Berawi</cp:lastModifiedBy>
  <cp:revision>1</cp:revision>
  <dcterms:created xsi:type="dcterms:W3CDTF">2026-09-30T09:00:00Z</dcterms:created>
  <dcterms:modified xsi:type="dcterms:W3CDTF">2026-09-30T15:08:00Z</dcterms:modified>
</cp:coreProperties>
</file>