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 w:val="1"/>
        <w:jc w:val="right"/>
        <w:spacing w:before="0" w:after="40" w:line="240" w:lineRule="auto"/>
      </w:pPr>
      <w:r>
        <w:rPr>
          <w:rFonts w:ascii="Arial" w:hAnsi="Arial" w:cs="Arial" w:eastAsia="Arial"/>
          <w:sz w:val="20"/>
          <w:szCs w:val="20"/>
          <w:color w:val="0B1F3A"/>
          <w:b/>
          <w:bCs/>
          <w:rtl/>
          <w:cs w:val="true"/>
        </w:rPr>
        <w:t xml:space="preserve">الأكاديمية العربية للعلوم والتكنولوجيا والنقل البحري</w:t>
      </w:r>
    </w:p>
    <w:p>
      <w:pPr>
        <w:bidi w:val="1"/>
        <w:jc w:val="right"/>
        <w:spacing w:before="0" w:after="80" w:line="220" w:lineRule="auto"/>
      </w:pPr>
      <w:r>
        <w:rPr>
          <w:rFonts w:ascii="Arial" w:hAnsi="Arial" w:cs="Arial" w:eastAsia="Arial"/>
          <w:sz w:val="17"/>
          <w:szCs w:val="17"/>
          <w:color w:val="4A5560"/>
          <w:rtl/>
          <w:cs w:val="true"/>
        </w:rPr>
        <w:t xml:space="preserve">فرع العلمين  ·  كلية الذكاء الاصطناعي</w:t>
      </w:r>
    </w:p>
    <w:p>
      <w:pPr>
        <w:jc w:val="left"/>
        <w:spacing w:before="0" w:after="20" w:line="220" w:lineRule="auto"/>
      </w:pPr>
      <w:r>
        <w:rPr>
          <w:rFonts w:ascii="Calibri" w:hAnsi="Calibri" w:cs="Calibri" w:eastAsia="Calibri"/>
          <w:sz w:val="18"/>
          <w:szCs w:val="18"/>
          <w:color w:val="0B1F3A"/>
          <w:b/>
          <w:bCs/>
          <w:caps w:val="true"/>
        </w:rPr>
        <w:t xml:space="preserve">ARAB ACADEMY FOR SCIENCE, TECHNOLOGY &amp; MARITIME TRANSPORT</w:t>
      </w:r>
    </w:p>
    <w:p>
      <w:pPr>
        <w:jc w:val="left"/>
        <w:spacing w:before="0" w:after="40" w:line="220" w:lineRule="auto"/>
      </w:pPr>
      <w:r>
        <w:rPr>
          <w:rFonts w:ascii="Calibri" w:hAnsi="Calibri" w:cs="Calibri" w:eastAsia="Calibri"/>
          <w:sz w:val="18"/>
          <w:szCs w:val="18"/>
          <w:color w:val="4A5560"/>
        </w:rPr>
        <w:t xml:space="preserve">Alamein Campus  ·  College of Artificial Intelligence</w:t>
      </w:r>
    </w:p>
    <w:p>
      <w:pPr>
        <w:jc w:val="left"/>
        <w:spacing w:before="80" w:after="20" w:line="240" w:lineRule="auto"/>
      </w:pPr>
      <w:r>
        <w:rPr>
          <w:rFonts w:ascii="Calibri" w:hAnsi="Calibri" w:cs="Calibri" w:eastAsia="Calibri"/>
          <w:sz w:val="36"/>
          <w:szCs w:val="36"/>
          <w:color w:val="0B1F3A"/>
          <w:b/>
          <w:bCs/>
        </w:rPr>
        <w:t xml:space="preserve">DECISION BRIEF</w:t>
      </w:r>
    </w:p>
    <w:p>
      <w:pPr>
        <w:jc w:val="left"/>
        <w:spacing w:before="0" w:after="160" w:line="240" w:lineRule="auto"/>
      </w:pPr>
      <w:r>
        <w:rPr>
          <w:rFonts w:ascii="Calibri" w:hAnsi="Calibri" w:cs="Calibri" w:eastAsia="Calibri"/>
          <w:sz w:val="20"/>
          <w:szCs w:val="20"/>
          <w:color w:val="B8952C"/>
          <w:i/>
          <w:iCs/>
        </w:rPr>
        <w:t xml:space="preserve">Graduation-project programme   ·   Academic year 2026 / 27</w:t>
      </w:r>
    </w:p>
    <w:tbl>
      <w:tblPr>
        <w:tblW w:w="9500" w:type="dxa"/>
        <w:tblLayout w:type="fixed"/>
        <w:tblBorders>
          <w:top w:val="single" w:sz="4" w:space="0" w:color="D0D5DD"/>
          <w:left w:val="nil"/>
          <w:bottom w:val="single" w:sz="4" w:space="0" w:color="D0D5DD"/>
          <w:right w:val="nil"/>
          <w:insideH w:val="single" w:sz="4" w:space="0" w:color="D0D5DD"/>
          <w:insideV w:val="nil"/>
        </w:tblBorders>
      </w:tblPr>
      <w:tblGrid>
        <w:gridCol w:w="1800"/>
        <w:gridCol w:w="7700"/>
      </w:tblGrid>
      <w:tr>
        <w:tc>
          <w:tcPr>
            <w:tcW w:w="1800" w:type="dxa"/>
            <w:vAlign w:val="center"/>
            <w:shd w:val="clear" w:color="auto" w:fill="EEF2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0B1F3A"/>
                <w:b/>
                <w:bCs/>
              </w:rPr>
              <w:t xml:space="preserve">To</w:t>
            </w:r>
          </w:p>
        </w:tc>
        <w:tc>
          <w:tcPr>
            <w:tcW w:w="77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The Chairman, College of Artificial Intelligence</w:t>
            </w:r>
          </w:p>
        </w:tc>
      </w:tr>
      <w:tr>
        <w:tc>
          <w:tcPr>
            <w:tcW w:w="1800" w:type="dxa"/>
            <w:vAlign w:val="center"/>
            <w:shd w:val="clear" w:color="auto" w:fill="EEF2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0B1F3A"/>
                <w:b/>
                <w:bCs/>
              </w:rPr>
              <w:t xml:space="preserve">Campus</w:t>
            </w:r>
          </w:p>
        </w:tc>
        <w:tc>
          <w:tcPr>
            <w:tcW w:w="77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AASTMT — Alamein</w:t>
            </w:r>
          </w:p>
        </w:tc>
      </w:tr>
      <w:tr>
        <w:tc>
          <w:tcPr>
            <w:tcW w:w="1800" w:type="dxa"/>
            <w:vAlign w:val="center"/>
            <w:shd w:val="clear" w:color="auto" w:fill="EEF2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0B1F3A"/>
                <w:b/>
                <w:bCs/>
              </w:rPr>
              <w:t xml:space="preserve">From</w:t>
            </w:r>
          </w:p>
        </w:tc>
        <w:tc>
          <w:tcPr>
            <w:tcW w:w="77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Dr. Ahmed  ·  College of Medicine, AASTMT  ·  Industrial supervisor (proposed)</w:t>
            </w:r>
          </w:p>
        </w:tc>
      </w:tr>
      <w:tr>
        <w:tc>
          <w:tcPr>
            <w:tcW w:w="1800" w:type="dxa"/>
            <w:vAlign w:val="center"/>
            <w:shd w:val="clear" w:color="auto" w:fill="EEF2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0B1F3A"/>
                <w:b/>
                <w:bCs/>
              </w:rPr>
              <w:t xml:space="preserve">Date</w:t>
            </w:r>
          </w:p>
        </w:tc>
        <w:tc>
          <w:tcPr>
            <w:tcW w:w="77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30 September 2026</w:t>
            </w:r>
          </w:p>
        </w:tc>
      </w:tr>
      <w:tr>
        <w:tc>
          <w:tcPr>
            <w:tcW w:w="1800" w:type="dxa"/>
            <w:vAlign w:val="center"/>
            <w:shd w:val="clear" w:color="auto" w:fill="EEF2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0B1F3A"/>
                <w:b/>
                <w:bCs/>
              </w:rPr>
              <w:t xml:space="preserve">Ref.</w:t>
            </w:r>
          </w:p>
        </w:tc>
        <w:tc>
          <w:tcPr>
            <w:tcW w:w="77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CAI-ALM/GP/2026-27</w:t>
            </w:r>
          </w:p>
        </w:tc>
      </w:tr>
      <w:tr>
        <w:tc>
          <w:tcPr>
            <w:tcW w:w="1800" w:type="dxa"/>
            <w:vAlign w:val="center"/>
            <w:shd w:val="clear" w:color="auto" w:fill="EEF2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0B1F3A"/>
                <w:b/>
                <w:bCs/>
              </w:rPr>
              <w:t xml:space="preserve">Subject</w:t>
            </w:r>
          </w:p>
        </w:tc>
        <w:tc>
          <w:tcPr>
            <w:tcW w:w="77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Graduation-project studios, academic year 2026/27 — decision requested</w:t>
            </w:r>
          </w:p>
        </w:tc>
      </w:tr>
      <w:tr>
        <w:tc>
          <w:tcPr>
            <w:tcW w:w="1800" w:type="dxa"/>
            <w:vAlign w:val="center"/>
            <w:shd w:val="clear" w:color="auto" w:fill="EEF2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0B1F3A"/>
                <w:b/>
                <w:bCs/>
              </w:rPr>
              <w:t xml:space="preserve">Classification</w:t>
            </w:r>
          </w:p>
        </w:tc>
        <w:tc>
          <w:tcPr>
            <w:tcW w:w="77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Internal  ·  For decision</w:t>
            </w:r>
          </w:p>
        </w:tc>
      </w:tr>
    </w:tbl>
    <w:p>
      <w:pPr>
        <w:jc w:val="left"/>
        <w:spacing w:before="0" w:after="160" w:line="276" w:lineRule="auto"/>
      </w:pPr>
    </w:p>
    <w:tbl>
      <w:tblPr>
        <w:tblW w:w="9500" w:type="dxa"/>
        <w:tblBorders>
          <w:top w:val="single" w:sz="12" w:space="0" w:color="B8952C"/>
          <w:left w:val="single" w:sz="24" w:space="0" w:color="B8952C"/>
          <w:bottom w:val="single" w:sz="12" w:space="0" w:color="B8952C"/>
          <w:right w:val="single" w:sz="4" w:space="0" w:color="D0D5DD"/>
        </w:tblBorders>
      </w:tblPr>
      <w:tblGrid>
        <w:gridCol w:w="9500"/>
      </w:tblGrid>
      <w:tr>
        <w:tc>
          <w:tcPr>
            <w:tcW w:w="9500" w:type="dxa"/>
            <w:shd w:val="clear" w:color="auto" w:fill="F7F5EF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jc w:val="left"/>
              <w:spacing w:before="0" w:after="80" w:line="240" w:lineRule="auto"/>
            </w:pPr>
            <w:r>
              <w:rPr>
                <w:rFonts w:ascii="Calibri" w:hAnsi="Calibri" w:cs="Calibri" w:eastAsia="Calibri"/>
                <w:sz w:val="20"/>
                <w:szCs w:val="20"/>
                <w:color w:val="0B1F3A"/>
                <w:b/>
                <w:bCs/>
                <w:caps w:val="true"/>
              </w:rPr>
              <w:t xml:space="preserve">DECISION REQUESTED</w:t>
            </w:r>
          </w:p>
          <w:p>
            <w:pPr>
              <w:jc w:val="left"/>
              <w:spacing w:before="0" w:after="70" w:line="260" w:lineRule="auto"/>
            </w:pPr>
            <w:r>
              <w:rPr>
                <w:rFonts w:ascii="Calibri" w:hAnsi="Calibri" w:cs="Calibri" w:eastAsia="Calibri"/>
                <w:sz w:val="20"/>
                <w:szCs w:val="20"/>
                <w:color w:val="B8952C"/>
                <w:b/>
                <w:bCs/>
              </w:rPr>
              <w:t xml:space="preserve">1.  </w:t>
            </w:r>
            <w:r>
              <w:rPr>
                <w:rFonts w:ascii="Calibri" w:hAnsi="Calibri" w:cs="Calibri" w:eastAsia="Calibri"/>
                <w:sz w:val="20"/>
                <w:szCs w:val="20"/>
                <w:color w:val="1C2430"/>
              </w:rPr>
              <w:t xml:space="preserve">Assign 8–12 graduating students to the four studios below — not thirty loose chatbot titles.</w:t>
            </w:r>
          </w:p>
          <w:p>
            <w:pPr>
              <w:jc w:val="left"/>
              <w:spacing w:before="0" w:after="70" w:line="260" w:lineRule="auto"/>
            </w:pPr>
            <w:r>
              <w:rPr>
                <w:rFonts w:ascii="Calibri" w:hAnsi="Calibri" w:cs="Calibri" w:eastAsia="Calibri"/>
                <w:sz w:val="20"/>
                <w:szCs w:val="20"/>
                <w:color w:val="B8952C"/>
                <w:b/>
                <w:bCs/>
              </w:rPr>
              <w:t xml:space="preserve">2.  </w:t>
            </w:r>
            <w:r>
              <w:rPr>
                <w:rFonts w:ascii="Calibri" w:hAnsi="Calibri" w:cs="Calibri" w:eastAsia="Calibri"/>
                <w:sz w:val="20"/>
                <w:szCs w:val="20"/>
                <w:color w:val="1C2430"/>
              </w:rPr>
              <w:t xml:space="preserve">Name one independent academic co-examiner per studio.</w:t>
            </w:r>
          </w:p>
          <w:p>
            <w:pPr>
              <w:jc w:val="left"/>
              <w:spacing w:before="0" w:after="70" w:line="260" w:lineRule="auto"/>
            </w:pPr>
            <w:r>
              <w:rPr>
                <w:rFonts w:ascii="Calibri" w:hAnsi="Calibri" w:cs="Calibri" w:eastAsia="Calibri"/>
                <w:sz w:val="20"/>
                <w:szCs w:val="20"/>
                <w:color w:val="B8952C"/>
                <w:b/>
                <w:bCs/>
              </w:rPr>
              <w:t xml:space="preserve">3.  </w:t>
            </w:r>
            <w:r>
              <w:rPr>
                <w:rFonts w:ascii="Calibri" w:hAnsi="Calibri" w:cs="Calibri" w:eastAsia="Calibri"/>
                <w:sz w:val="20"/>
                <w:szCs w:val="20"/>
                <w:color w:val="1C2430"/>
              </w:rPr>
              <w:t xml:space="preserve">Invite the College of Medicine to name, by week 3: one clinical pharmacologist (Studio 3) and one coding clinician or OSCE lead (Studio 4). If only one doctor is available, Studio 3 proceeds; Studio 4 uses gold already on campus.</w:t>
            </w:r>
          </w:p>
          <w:p>
            <w:pPr>
              <w:jc w:val="left"/>
              <w:spacing w:before="0" w:after="70" w:line="260" w:lineRule="auto"/>
            </w:pPr>
            <w:r>
              <w:rPr>
                <w:rFonts w:ascii="Calibri" w:hAnsi="Calibri" w:cs="Calibri" w:eastAsia="Calibri"/>
                <w:sz w:val="20"/>
                <w:szCs w:val="20"/>
                <w:color w:val="B8952C"/>
                <w:b/>
                <w:bCs/>
              </w:rPr>
              <w:t xml:space="preserve">4.  </w:t>
            </w:r>
            <w:r>
              <w:rPr>
                <w:rFonts w:ascii="Calibri" w:hAnsi="Calibri" w:cs="Calibri" w:eastAsia="Calibri"/>
                <w:sz w:val="20"/>
                <w:szCs w:val="20"/>
                <w:color w:val="1C2430"/>
              </w:rPr>
              <w:t xml:space="preserve">Issue, in month one, a research-ethics covering letter: teaching data only; not a medical device; not for patient care.</w:t>
            </w:r>
          </w:p>
          <w:p>
            <w:pPr>
              <w:jc w:val="left"/>
              <w:spacing w:before="0" w:after="70" w:line="260" w:lineRule="auto"/>
            </w:pPr>
            <w:r>
              <w:rPr>
                <w:rFonts w:ascii="Calibri" w:hAnsi="Calibri" w:cs="Calibri" w:eastAsia="Calibri"/>
                <w:sz w:val="20"/>
                <w:szCs w:val="20"/>
                <w:color w:val="B8952C"/>
                <w:b/>
                <w:bCs/>
              </w:rPr>
              <w:t xml:space="preserve">5.  </w:t>
            </w:r>
            <w:r>
              <w:rPr>
                <w:rFonts w:ascii="Calibri" w:hAnsi="Calibri" w:cs="Calibri" w:eastAsia="Calibri"/>
                <w:sz w:val="20"/>
                <w:szCs w:val="20"/>
                <w:color w:val="1C2430"/>
              </w:rPr>
              <w:t xml:space="preserve">Confirm IP: students own thesis code (MIT or Apache-2.0). The Academy and the industrial laboratory retain a non-exclusive licence to teach from it.</w:t>
            </w:r>
          </w:p>
        </w:tc>
      </w:tr>
    </w:tbl>
    <w:p>
      <w:pPr>
        <w:keepNext/>
        <w:jc w:val="left"/>
        <w:spacing w:before="280" w:after="100" w:line="240" w:lineRule="auto"/>
      </w:pPr>
      <w:r>
        <w:rPr>
          <w:rFonts w:ascii="Calibri" w:hAnsi="Calibri" w:cs="Calibri" w:eastAsia="Calibri"/>
          <w:sz w:val="21"/>
          <w:szCs w:val="21"/>
          <w:color w:val="0B1F3A"/>
          <w:b/>
          <w:bCs/>
          <w:caps w:val="true"/>
        </w:rPr>
        <w:t xml:space="preserve">1.  WHY THIS FORM</w:t>
      </w:r>
    </w:p>
    <w:p>
      <w:pPr>
        <w:jc w:val="left"/>
        <w:spacing w:before="0" w:after="140" w:line="276" w:lineRule="auto"/>
      </w:pPr>
      <w:r>
        <w:rPr>
          <w:rFonts w:ascii="Calibri" w:hAnsi="Calibri" w:cs="Calibri" w:eastAsia="Calibri"/>
          <w:sz w:val="21"/>
          <w:szCs w:val="21"/>
          <w:color w:val="1C2430"/>
        </w:rPr>
        <w:t xml:space="preserve">Industry will not hire a demonstration chatbot. Examiners should not have to. This year the College should run four studios, each attacking one industrial failure, on a frozen teaching pack, with a claim an independent examiner can rerun from the student repository.</w:t>
      </w:r>
    </w:p>
    <w:p>
      <w:pPr>
        <w:jc w:val="left"/>
        <w:spacing w:before="0" w:after="140" w:line="276" w:lineRule="auto"/>
      </w:pPr>
      <w:r>
        <w:rPr>
          <w:rFonts w:ascii="Calibri" w:hAnsi="Calibri" w:cs="Calibri" w:eastAsia="Calibri"/>
          <w:sz w:val="21"/>
          <w:szCs w:val="21"/>
          <w:color w:val="1C2430"/>
        </w:rPr>
        <w:t xml:space="preserve">The College of Medicine will co-supervise two studios. Doctors write and freeze teaching gold. They do not open patient records. Commercial platforms are laboratories. Rebuilding a company is not the title.</w:t>
      </w:r>
    </w:p>
    <w:p>
      <w:pPr>
        <w:keepNext/>
        <w:jc w:val="left"/>
        <w:spacing w:before="280" w:after="100" w:line="240" w:lineRule="auto"/>
      </w:pPr>
      <w:r>
        <w:rPr>
          <w:rFonts w:ascii="Calibri" w:hAnsi="Calibri" w:cs="Calibri" w:eastAsia="Calibri"/>
          <w:sz w:val="21"/>
          <w:szCs w:val="21"/>
          <w:color w:val="0B1F3A"/>
          <w:b/>
          <w:bCs/>
          <w:caps w:val="true"/>
        </w:rPr>
        <w:t xml:space="preserve">2.  THIS YEAR — FOUR STUDIOS</w:t>
      </w:r>
    </w:p>
    <w:tbl>
      <w:tblPr>
        <w:tblW w:w="950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5000"/>
        <w:gridCol w:w="800"/>
        <w:gridCol w:w="2000"/>
      </w:tblGrid>
      <w:tr>
        <w:tc>
          <w:tcPr>
            <w:tcW w:w="1700" w:type="dxa"/>
            <w:vAlign w:val="center"/>
            <w:shd w:val="clear" w:color="auto" w:fill="0B1F3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6"/>
                <w:szCs w:val="16"/>
                <w:color w:val="FFFFFF"/>
                <w:b/>
                <w:bCs/>
              </w:rPr>
              <w:t xml:space="preserve">Studio</w:t>
            </w:r>
          </w:p>
        </w:tc>
        <w:tc>
          <w:tcPr>
            <w:tcW w:w="5000" w:type="dxa"/>
            <w:vAlign w:val="center"/>
            <w:shd w:val="clear" w:color="auto" w:fill="0B1F3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6"/>
                <w:szCs w:val="16"/>
                <w:color w:val="FFFFFF"/>
                <w:b/>
                <w:bCs/>
              </w:rPr>
              <w:t xml:space="preserve">The problem</w:t>
            </w:r>
          </w:p>
        </w:tc>
        <w:tc>
          <w:tcPr>
            <w:tcW w:w="800" w:type="dxa"/>
            <w:vAlign w:val="center"/>
            <w:shd w:val="clear" w:color="auto" w:fill="0B1F3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6"/>
                <w:szCs w:val="16"/>
                <w:color w:val="FFFFFF"/>
                <w:b/>
                <w:bCs/>
              </w:rPr>
              <w:t xml:space="preserve">N</w:t>
            </w:r>
          </w:p>
        </w:tc>
        <w:tc>
          <w:tcPr>
            <w:tcW w:w="2000" w:type="dxa"/>
            <w:vAlign w:val="center"/>
            <w:shd w:val="clear" w:color="auto" w:fill="0B1F3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6"/>
                <w:szCs w:val="16"/>
                <w:color w:val="FFFFFF"/>
                <w:b/>
                <w:bCs/>
              </w:rPr>
              <w:t xml:space="preserve">Medicine</w:t>
            </w:r>
          </w:p>
        </w:tc>
      </w:tr>
      <w:tr>
        <w:tc>
          <w:tcPr>
            <w:tcW w:w="1700" w:type="dxa"/>
            <w:vAlign w:val="center"/>
            <w:shd w:val="clear" w:color="auto" w:fill="F7F5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  <w:b/>
                <w:bCs/>
              </w:rPr>
              <w:t xml:space="preserve">1  Energy</w:t>
            </w:r>
          </w:p>
        </w:tc>
        <w:tc>
          <w:tcPr>
            <w:tcW w:w="5000" w:type="dxa"/>
            <w:vAlign w:val="center"/>
            <w:shd w:val="clear" w:color="auto" w:fill="F7F5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Forecasts that remain honest when last actuals are 24–72 hours late — and that refuse when coverage would be a guess.</w:t>
            </w:r>
          </w:p>
        </w:tc>
        <w:tc>
          <w:tcPr>
            <w:tcW w:w="800" w:type="dxa"/>
            <w:vAlign w:val="center"/>
            <w:shd w:val="clear" w:color="auto" w:fill="F7F5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2–3</w:t>
            </w:r>
          </w:p>
        </w:tc>
        <w:tc>
          <w:tcPr>
            <w:tcW w:w="2000" w:type="dxa"/>
            <w:vAlign w:val="center"/>
            <w:shd w:val="clear" w:color="auto" w:fill="F7F5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—</w:t>
            </w:r>
          </w:p>
        </w:tc>
      </w:tr>
      <w:tr>
        <w:tc>
          <w:tcPr>
            <w:tcW w:w="17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  <w:b/>
                <w:bCs/>
              </w:rPr>
              <w:t xml:space="preserve">2  Campus assistant</w:t>
            </w:r>
          </w:p>
        </w:tc>
        <w:tc>
          <w:tcPr>
            <w:tcW w:w="50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Every operational figure cited to evidence. No silent write. A naïve retrieval baseline fails the same bank.</w:t>
            </w:r>
          </w:p>
        </w:tc>
        <w:tc>
          <w:tcPr>
            <w:tcW w:w="8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3</w:t>
            </w:r>
          </w:p>
        </w:tc>
        <w:tc>
          <w:tcPr>
            <w:tcW w:w="20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—</w:t>
            </w:r>
          </w:p>
        </w:tc>
      </w:tr>
      <w:tr>
        <w:tc>
          <w:tcPr>
            <w:tcW w:w="1700" w:type="dxa"/>
            <w:vAlign w:val="center"/>
            <w:shd w:val="clear" w:color="auto" w:fill="F7F5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  <w:b/>
                <w:bCs/>
              </w:rPr>
              <w:t xml:space="preserve">3  Safe prescribing</w:t>
            </w:r>
          </w:p>
        </w:tc>
        <w:tc>
          <w:tcPr>
            <w:tcW w:w="5000" w:type="dxa"/>
            <w:vAlign w:val="center"/>
            <w:shd w:val="clear" w:color="auto" w:fill="F7F5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An alert cites a versioned pack row, or it is silent. Incomplete and renal-blind scripts fail as a second test. Not a medical device.</w:t>
            </w:r>
          </w:p>
        </w:tc>
        <w:tc>
          <w:tcPr>
            <w:tcW w:w="800" w:type="dxa"/>
            <w:vAlign w:val="center"/>
            <w:shd w:val="clear" w:color="auto" w:fill="F7F5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2–3</w:t>
            </w:r>
          </w:p>
        </w:tc>
        <w:tc>
          <w:tcPr>
            <w:tcW w:w="2000" w:type="dxa"/>
            <w:vAlign w:val="center"/>
            <w:shd w:val="clear" w:color="auto" w:fill="F7F5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Clinical pharmacology</w:t>
            </w:r>
          </w:p>
        </w:tc>
      </w:tr>
      <w:tr>
        <w:tc>
          <w:tcPr>
            <w:tcW w:w="17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  <w:b/>
                <w:bCs/>
              </w:rPr>
              <w:t xml:space="preserve">4  Clinical encoding</w:t>
            </w:r>
          </w:p>
        </w:tc>
        <w:tc>
          <w:tcPr>
            <w:tcW w:w="50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A code without a span in the original note is refused. An Arabic note is not coded from an English paraphrase the model invented.</w:t>
            </w:r>
          </w:p>
        </w:tc>
        <w:tc>
          <w:tcPr>
            <w:tcW w:w="8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2–3</w:t>
            </w:r>
          </w:p>
        </w:tc>
        <w:tc>
          <w:tcPr>
            <w:tcW w:w="20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Coder or OSCE lead</w:t>
            </w:r>
          </w:p>
        </w:tc>
      </w:tr>
    </w:tbl>
    <w:p>
      <w:pPr>
        <w:jc w:val="left"/>
        <w:spacing w:before="0" w:after="80" w:line="276" w:lineRule="auto"/>
      </w:pPr>
    </w:p>
    <w:p>
      <w:pPr>
        <w:jc w:val="left"/>
        <w:spacing w:before="0" w:after="140" w:line="276" w:lineRule="auto"/>
      </w:pPr>
      <w:r>
        <w:rPr>
          <w:rFonts w:ascii="Calibri" w:hAnsi="Calibri" w:cs="Calibri" w:eastAsia="Calibri"/>
          <w:sz w:val="21"/>
          <w:szCs w:val="21"/>
          <w:color w:val="1C2430"/>
        </w:rPr>
        <w:t xml:space="preserve">A thirty-card catalogue exists for later years and for fallbacks. We will not run thirty theses. If a data pack is not bound by week 4, the studio swaps to a named fallback. We do not delay the year.</w:t>
      </w:r>
    </w:p>
    <w:p>
      <w:pPr>
        <w:keepNext/>
        <w:jc w:val="left"/>
        <w:spacing w:before="280" w:after="100" w:line="240" w:lineRule="auto"/>
      </w:pPr>
      <w:r>
        <w:rPr>
          <w:rFonts w:ascii="Calibri" w:hAnsi="Calibri" w:cs="Calibri" w:eastAsia="Calibri"/>
          <w:sz w:val="21"/>
          <w:szCs w:val="21"/>
          <w:color w:val="0B1F3A"/>
          <w:b/>
          <w:bCs/>
          <w:caps w:val="true"/>
        </w:rPr>
        <w:t xml:space="preserve">3.  WHAT ALREADY EXISTS</w:t>
      </w:r>
    </w:p>
    <w:p>
      <w:pPr>
        <w:jc w:val="left"/>
        <w:spacing w:before="0" w:after="60" w:line="260" w:lineRule="auto"/>
      </w:pPr>
      <w:r>
        <w:rPr>
          <w:rFonts w:ascii="Calibri" w:hAnsi="Calibri" w:cs="Calibri" w:eastAsia="Calibri"/>
          <w:sz w:val="21"/>
          <w:szCs w:val="21"/>
          <w:color w:val="B8952C"/>
          <w:b/>
          <w:bCs/>
        </w:rPr>
        <w:t xml:space="preserve">–  </w:t>
      </w:r>
      <w:r>
        <w:rPr>
          <w:rFonts w:ascii="Calibri" w:hAnsi="Calibri" w:cs="Calibri" w:eastAsia="Calibri"/>
          <w:sz w:val="21"/>
          <w:szCs w:val="21"/>
          <w:color w:val="1C2430"/>
        </w:rPr>
        <w:t xml:space="preserve">College of Medicine Moodle already hosts a page-grounded Ask assistant: cite the current page or stay silent; refuse clinical advice, assignment writing, and the question bank.</w:t>
      </w:r>
    </w:p>
    <w:p>
      <w:pPr>
        <w:jc w:val="left"/>
        <w:spacing w:before="0" w:after="60" w:line="260" w:lineRule="auto"/>
      </w:pPr>
      <w:r>
        <w:rPr>
          <w:rFonts w:ascii="Calibri" w:hAnsi="Calibri" w:cs="Calibri" w:eastAsia="Calibri"/>
          <w:sz w:val="21"/>
          <w:szCs w:val="21"/>
          <w:color w:val="B8952C"/>
          <w:b/>
          <w:bCs/>
        </w:rPr>
        <w:t xml:space="preserve">–  </w:t>
      </w:r>
      <w:r>
        <w:rPr>
          <w:rFonts w:ascii="Calibri" w:hAnsi="Calibri" w:cs="Calibri" w:eastAsia="Calibri"/>
          <w:sz w:val="21"/>
          <w:szCs w:val="21"/>
          <w:color w:val="1C2430"/>
        </w:rPr>
        <w:t xml:space="preserve">Teaching packs already exist for an abdominal OSCE note, a urinalysis OSPE, and an appendicitis case. Today they score by keyword. That keyword scorer is the baseline a student must beat.</w:t>
      </w:r>
    </w:p>
    <w:p>
      <w:pPr>
        <w:jc w:val="left"/>
        <w:spacing w:before="0" w:after="60" w:line="260" w:lineRule="auto"/>
      </w:pPr>
      <w:r>
        <w:rPr>
          <w:rFonts w:ascii="Calibri" w:hAnsi="Calibri" w:cs="Calibri" w:eastAsia="Calibri"/>
          <w:sz w:val="21"/>
          <w:szCs w:val="21"/>
          <w:color w:val="B8952C"/>
          <w:b/>
          <w:bCs/>
        </w:rPr>
        <w:t xml:space="preserve">–  </w:t>
      </w:r>
      <w:r>
        <w:rPr>
          <w:rFonts w:ascii="Calibri" w:hAnsi="Calibri" w:cs="Calibri" w:eastAsia="Calibri"/>
          <w:sz w:val="21"/>
          <w:szCs w:val="21"/>
          <w:color w:val="1C2430"/>
        </w:rPr>
        <w:t xml:space="preserve">Alamein campus energy, fuel, and water inventories exist as a teaching tenant. Studio 2 reads them. It does not touch production finance or payroll.</w:t>
      </w:r>
    </w:p>
    <w:p>
      <w:pPr>
        <w:jc w:val="left"/>
        <w:spacing w:before="0" w:after="60" w:line="260" w:lineRule="auto"/>
      </w:pPr>
      <w:r>
        <w:rPr>
          <w:rFonts w:ascii="Calibri" w:hAnsi="Calibri" w:cs="Calibri" w:eastAsia="Calibri"/>
          <w:sz w:val="21"/>
          <w:szCs w:val="21"/>
          <w:color w:val="B8952C"/>
          <w:b/>
          <w:bCs/>
        </w:rPr>
        <w:t xml:space="preserve">–  </w:t>
      </w:r>
      <w:r>
        <w:rPr>
          <w:rFonts w:ascii="Calibri" w:hAnsi="Calibri" w:cs="Calibri" w:eastAsia="Calibri"/>
          <w:sz w:val="21"/>
          <w:szCs w:val="21"/>
          <w:color w:val="1C2430"/>
        </w:rPr>
        <w:t xml:space="preserve">The industrial supervisor will bind packs, host the mid-year jury, and keep the commercial stack off the critical path of the viva.</w:t>
      </w:r>
    </w:p>
    <w:p>
      <w:pPr>
        <w:keepNext/>
        <w:jc w:val="left"/>
        <w:spacing w:before="280" w:after="100" w:line="240" w:lineRule="auto"/>
      </w:pPr>
      <w:r>
        <w:rPr>
          <w:rFonts w:ascii="Calibri" w:hAnsi="Calibri" w:cs="Calibri" w:eastAsia="Calibri"/>
          <w:sz w:val="21"/>
          <w:szCs w:val="21"/>
          <w:color w:val="0B1F3A"/>
          <w:b/>
          <w:bCs/>
          <w:caps w:val="true"/>
        </w:rPr>
        <w:t xml:space="preserve">4.  THE ACADEMIC RULE</w:t>
      </w:r>
    </w:p>
    <w:p>
      <w:pPr>
        <w:jc w:val="left"/>
        <w:spacing w:before="0" w:after="140" w:line="276" w:lineRule="auto"/>
      </w:pPr>
      <w:r>
        <w:rPr>
          <w:rFonts w:ascii="Calibri" w:hAnsi="Calibri" w:cs="Calibri" w:eastAsia="Calibri"/>
          <w:sz w:val="21"/>
          <w:szCs w:val="21"/>
          <w:color w:val="1C2430"/>
        </w:rPr>
        <w:t xml:space="preserve">A number, a code, an alert, a mark, or a system write is not allowed until a pack, a span, a consent, or an evidence identifier can carry it. The student must fail that test in public. A naïve or published baseline must fail the same test, on the same bank, in the same viva.</w:t>
      </w:r>
    </w:p>
    <w:p>
      <w:pPr>
        <w:jc w:val="left"/>
        <w:spacing w:before="0" w:after="140" w:line="276" w:lineRule="auto"/>
      </w:pPr>
      <w:r>
        <w:rPr>
          <w:rFonts w:ascii="Calibri" w:hAnsi="Calibri" w:cs="Calibri" w:eastAsia="Calibri"/>
          <w:sz w:val="21"/>
          <w:szCs w:val="21"/>
          <w:color w:val="1C2430"/>
        </w:rPr>
        <w:t xml:space="preserve">Headline metrics reproduce on ordinary tools: Postgres or DuckDB, any language model, the student’s scorer, and the pack. If the examiner cannot rerun the number, it is not a number.</w:t>
      </w:r>
    </w:p>
    <w:p>
      <w:pPr>
        <w:keepNext/>
        <w:jc w:val="left"/>
        <w:spacing w:before="280" w:after="100" w:line="240" w:lineRule="auto"/>
      </w:pPr>
      <w:r>
        <w:rPr>
          <w:rFonts w:ascii="Calibri" w:hAnsi="Calibri" w:cs="Calibri" w:eastAsia="Calibri"/>
          <w:sz w:val="21"/>
          <w:szCs w:val="21"/>
          <w:color w:val="0B1F3A"/>
          <w:b/>
          <w:bCs/>
          <w:caps w:val="true"/>
        </w:rPr>
        <w:t xml:space="preserve">5.  WHAT THIS IS NOT</w:t>
      </w:r>
    </w:p>
    <w:p>
      <w:pPr>
        <w:jc w:val="left"/>
        <w:spacing w:before="0" w:after="60" w:line="260" w:lineRule="auto"/>
      </w:pPr>
      <w:r>
        <w:rPr>
          <w:rFonts w:ascii="Calibri" w:hAnsi="Calibri" w:cs="Calibri" w:eastAsia="Calibri"/>
          <w:sz w:val="21"/>
          <w:szCs w:val="21"/>
          <w:color w:val="B8952C"/>
          <w:b/>
          <w:bCs/>
        </w:rPr>
        <w:t xml:space="preserve">–  </w:t>
      </w:r>
      <w:r>
        <w:rPr>
          <w:rFonts w:ascii="Calibri" w:hAnsi="Calibri" w:cs="Calibri" w:eastAsia="Calibri"/>
          <w:sz w:val="21"/>
          <w:szCs w:val="21"/>
          <w:color w:val="1C2430"/>
        </w:rPr>
        <w:t xml:space="preserve">A campus ChatGPT, or a fine-tune on student or clinical prose.</w:t>
      </w:r>
    </w:p>
    <w:p>
      <w:pPr>
        <w:jc w:val="left"/>
        <w:spacing w:before="0" w:after="60" w:line="260" w:lineRule="auto"/>
      </w:pPr>
      <w:r>
        <w:rPr>
          <w:rFonts w:ascii="Calibri" w:hAnsi="Calibri" w:cs="Calibri" w:eastAsia="Calibri"/>
          <w:sz w:val="21"/>
          <w:szCs w:val="21"/>
          <w:color w:val="B8952C"/>
          <w:b/>
          <w:bCs/>
        </w:rPr>
        <w:t xml:space="preserve">–  </w:t>
      </w:r>
      <w:r>
        <w:rPr>
          <w:rFonts w:ascii="Calibri" w:hAnsi="Calibri" w:cs="Calibri" w:eastAsia="Calibri"/>
          <w:sz w:val="21"/>
          <w:szCs w:val="21"/>
          <w:color w:val="1C2430"/>
        </w:rPr>
        <w:t xml:space="preserve">A medical device, a substitute for a clinician, or access to the hospital EHR or laboratory system.</w:t>
      </w:r>
    </w:p>
    <w:p>
      <w:pPr>
        <w:jc w:val="left"/>
        <w:spacing w:before="0" w:after="60" w:line="260" w:lineRule="auto"/>
      </w:pPr>
      <w:r>
        <w:rPr>
          <w:rFonts w:ascii="Calibri" w:hAnsi="Calibri" w:cs="Calibri" w:eastAsia="Calibri"/>
          <w:sz w:val="21"/>
          <w:szCs w:val="21"/>
          <w:color w:val="B8952C"/>
          <w:b/>
          <w:bCs/>
        </w:rPr>
        <w:t xml:space="preserve">–  </w:t>
      </w:r>
      <w:r>
        <w:rPr>
          <w:rFonts w:ascii="Calibri" w:hAnsi="Calibri" w:cs="Calibri" w:eastAsia="Calibri"/>
          <w:sz w:val="21"/>
          <w:szCs w:val="21"/>
          <w:color w:val="1C2430"/>
        </w:rPr>
        <w:t xml:space="preserve">Identifiable student scripts, live e-prescriptions, or production payroll.</w:t>
      </w:r>
    </w:p>
    <w:p>
      <w:pPr>
        <w:jc w:val="left"/>
        <w:spacing w:before="0" w:after="60" w:line="260" w:lineRule="auto"/>
      </w:pPr>
      <w:r>
        <w:rPr>
          <w:rFonts w:ascii="Calibri" w:hAnsi="Calibri" w:cs="Calibri" w:eastAsia="Calibri"/>
          <w:sz w:val="21"/>
          <w:szCs w:val="21"/>
          <w:color w:val="B8952C"/>
          <w:b/>
          <w:bCs/>
        </w:rPr>
        <w:t xml:space="preserve">–  </w:t>
      </w:r>
      <w:r>
        <w:rPr>
          <w:rFonts w:ascii="Calibri" w:hAnsi="Calibri" w:cs="Calibri" w:eastAsia="Calibri"/>
          <w:sz w:val="21"/>
          <w:szCs w:val="21"/>
          <w:color w:val="1C2430"/>
        </w:rPr>
        <w:t xml:space="preserve">A brief to rebuild a vendor product as the graduation title.</w:t>
      </w:r>
    </w:p>
    <w:p>
      <w:pPr>
        <w:keepNext/>
        <w:jc w:val="left"/>
        <w:spacing w:before="280" w:after="100" w:line="240" w:lineRule="auto"/>
      </w:pPr>
      <w:r>
        <w:rPr>
          <w:rFonts w:ascii="Calibri" w:hAnsi="Calibri" w:cs="Calibri" w:eastAsia="Calibri"/>
          <w:sz w:val="21"/>
          <w:szCs w:val="21"/>
          <w:color w:val="0B1F3A"/>
          <w:b/>
          <w:bCs/>
          <w:caps w:val="true"/>
        </w:rPr>
        <w:t xml:space="preserve">6.  THIRTY WEEKS</w:t>
      </w:r>
    </w:p>
    <w:tbl>
      <w:tblPr>
        <w:tblW w:w="950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00"/>
        <w:gridCol w:w="1200"/>
        <w:gridCol w:w="6900"/>
      </w:tblGrid>
      <w:tr>
        <w:tc>
          <w:tcPr>
            <w:tcW w:w="1400" w:type="dxa"/>
            <w:vAlign w:val="center"/>
            <w:shd w:val="clear" w:color="auto" w:fill="0B1F3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6"/>
                <w:szCs w:val="16"/>
                <w:color w:val="FFFFFF"/>
                <w:b/>
                <w:bCs/>
              </w:rPr>
              <w:t xml:space="preserve">Gate</w:t>
            </w:r>
          </w:p>
        </w:tc>
        <w:tc>
          <w:tcPr>
            <w:tcW w:w="1200" w:type="dxa"/>
            <w:vAlign w:val="center"/>
            <w:shd w:val="clear" w:color="auto" w:fill="0B1F3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6"/>
                <w:szCs w:val="16"/>
                <w:color w:val="FFFFFF"/>
                <w:b/>
                <w:bCs/>
              </w:rPr>
              <w:t xml:space="preserve">Week</w:t>
            </w:r>
          </w:p>
        </w:tc>
        <w:tc>
          <w:tcPr>
            <w:tcW w:w="6900" w:type="dxa"/>
            <w:vAlign w:val="center"/>
            <w:shd w:val="clear" w:color="auto" w:fill="0B1F3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6"/>
                <w:szCs w:val="16"/>
                <w:color w:val="FFFFFF"/>
                <w:b/>
                <w:bCs/>
              </w:rPr>
              <w:t xml:space="preserve">Must be true</w:t>
            </w:r>
          </w:p>
        </w:tc>
      </w:tr>
      <w:tr>
        <w:tc>
          <w:tcPr>
            <w:tcW w:w="1400" w:type="dxa"/>
            <w:vAlign w:val="center"/>
            <w:shd w:val="clear" w:color="auto" w:fill="F7F5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  <w:b/>
                <w:bCs/>
              </w:rPr>
              <w:t xml:space="preserve">Bind</w:t>
            </w:r>
          </w:p>
        </w:tc>
        <w:tc>
          <w:tcPr>
            <w:tcW w:w="1200" w:type="dxa"/>
            <w:vAlign w:val="center"/>
            <w:shd w:val="clear" w:color="auto" w:fill="F7F5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0–3</w:t>
            </w:r>
          </w:p>
        </w:tc>
        <w:tc>
          <w:tcPr>
            <w:tcW w:w="6900" w:type="dxa"/>
            <w:vAlign w:val="center"/>
            <w:shd w:val="clear" w:color="auto" w:fill="F7F5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Pack bound. Open-core repository. IP and conflict-of-interest signed. Ethics letter requested. Co-examiner named.</w:t>
            </w:r>
          </w:p>
        </w:tc>
      </w:tr>
      <w:tr>
        <w:tc>
          <w:tcPr>
            <w:tcW w:w="14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  <w:b/>
                <w:bCs/>
              </w:rPr>
              <w:t xml:space="preserve">Claim</w:t>
            </w:r>
          </w:p>
        </w:tc>
        <w:tc>
          <w:tcPr>
            <w:tcW w:w="12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6</w:t>
            </w:r>
          </w:p>
        </w:tc>
        <w:tc>
          <w:tcPr>
            <w:tcW w:w="69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A baseline that fails. Scorer v1. Claim sheet signed. Bank hash recorded.</w:t>
            </w:r>
          </w:p>
        </w:tc>
      </w:tr>
      <w:tr>
        <w:tc>
          <w:tcPr>
            <w:tcW w:w="1400" w:type="dxa"/>
            <w:vAlign w:val="center"/>
            <w:shd w:val="clear" w:color="auto" w:fill="F7F5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  <w:b/>
                <w:bCs/>
              </w:rPr>
              <w:t xml:space="preserve">Applied</w:t>
            </w:r>
          </w:p>
        </w:tc>
        <w:tc>
          <w:tcPr>
            <w:tcW w:w="1200" w:type="dxa"/>
            <w:vAlign w:val="center"/>
            <w:shd w:val="clear" w:color="auto" w:fill="F7F5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14</w:t>
            </w:r>
          </w:p>
        </w:tc>
        <w:tc>
          <w:tcPr>
            <w:tcW w:w="6900" w:type="dxa"/>
            <w:vAlign w:val="center"/>
            <w:shd w:val="clear" w:color="auto" w:fill="F7F5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Applied depth on frozen bank v1. Mid-year jury.</w:t>
            </w:r>
          </w:p>
        </w:tc>
      </w:tr>
      <w:tr>
        <w:tc>
          <w:tcPr>
            <w:tcW w:w="14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  <w:b/>
                <w:bCs/>
              </w:rPr>
              <w:t xml:space="preserve">Systems</w:t>
            </w:r>
          </w:p>
        </w:tc>
        <w:tc>
          <w:tcPr>
            <w:tcW w:w="12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22</w:t>
            </w:r>
          </w:p>
        </w:tc>
        <w:tc>
          <w:tcPr>
            <w:tcW w:w="69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Systems depth. Adversarial round. Bank v2 frozen.</w:t>
            </w:r>
          </w:p>
        </w:tc>
      </w:tr>
      <w:tr>
        <w:tc>
          <w:tcPr>
            <w:tcW w:w="1400" w:type="dxa"/>
            <w:vAlign w:val="center"/>
            <w:shd w:val="clear" w:color="auto" w:fill="F7F5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  <w:b/>
                <w:bCs/>
              </w:rPr>
              <w:t xml:space="preserve">Freeze</w:t>
            </w:r>
          </w:p>
        </w:tc>
        <w:tc>
          <w:tcPr>
            <w:tcW w:w="1200" w:type="dxa"/>
            <w:vAlign w:val="center"/>
            <w:shd w:val="clear" w:color="auto" w:fill="F7F5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26</w:t>
            </w:r>
          </w:p>
        </w:tc>
        <w:tc>
          <w:tcPr>
            <w:tcW w:w="6900" w:type="dxa"/>
            <w:vAlign w:val="center"/>
            <w:shd w:val="clear" w:color="auto" w:fill="F7F5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The reported number is the worst of three dated runs. Write-up starts.</w:t>
            </w:r>
          </w:p>
        </w:tc>
      </w:tr>
      <w:tr>
        <w:tc>
          <w:tcPr>
            <w:tcW w:w="14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  <w:b/>
                <w:bCs/>
              </w:rPr>
              <w:t xml:space="preserve">Viva</w:t>
            </w:r>
          </w:p>
        </w:tc>
        <w:tc>
          <w:tcPr>
            <w:tcW w:w="12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28–30</w:t>
            </w:r>
          </w:p>
        </w:tc>
        <w:tc>
          <w:tcPr>
            <w:tcW w:w="6900" w:type="dxa"/>
            <w:vAlign w:val="center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Calibri" w:eastAsia="Calibri"/>
                <w:sz w:val="17"/>
                <w:szCs w:val="17"/>
                <w:color w:val="1C2430"/>
              </w:rPr>
              <w:t xml:space="preserve">The examiner reruns the headline metric from the student repository.</w:t>
            </w:r>
          </w:p>
        </w:tc>
      </w:tr>
    </w:tbl>
    <w:p>
      <w:pPr>
        <w:keepNext/>
        <w:jc w:val="left"/>
        <w:spacing w:before="280" w:after="100" w:line="240" w:lineRule="auto"/>
      </w:pPr>
      <w:r>
        <w:rPr>
          <w:rFonts w:ascii="Calibri" w:hAnsi="Calibri" w:cs="Calibri" w:eastAsia="Calibri"/>
          <w:sz w:val="21"/>
          <w:szCs w:val="21"/>
          <w:color w:val="0B1F3A"/>
          <w:b/>
          <w:bCs/>
          <w:caps w:val="true"/>
        </w:rPr>
        <w:t xml:space="preserve">7.  MEDICINE — ETHICS, IN ONE PARAGRAPH</w:t>
      </w:r>
    </w:p>
    <w:p>
      <w:pPr>
        <w:jc w:val="left"/>
        <w:spacing w:before="0" w:after="140" w:line="276" w:lineRule="auto"/>
      </w:pPr>
      <w:r>
        <w:rPr>
          <w:rFonts w:ascii="Calibri" w:hAnsi="Calibri" w:cs="Calibri" w:eastAsia="Calibri"/>
          <w:sz w:val="21"/>
          <w:szCs w:val="21"/>
          <w:color w:val="1C2430"/>
        </w:rPr>
        <w:t xml:space="preserve">No electronic health record. Teaching gold only. Twenty percent of gold is double-annotated; agreement is reported. Every medicine studio carries a device-scope statement: not for patient care. If the College can name only one doctor, that doctor should be a clinical pharmacologist and Studio 3 proceeds. Studio 4 then uses the existing OSCE-note pack or the Medicine Moodle gold — both already written. We do not invent a clinical product to fill a gap in supervision.</w:t>
      </w:r>
    </w:p>
    <w:p>
      <w:pPr>
        <w:keepNext/>
        <w:jc w:val="left"/>
        <w:spacing w:before="280" w:after="100" w:line="240" w:lineRule="auto"/>
      </w:pPr>
      <w:r>
        <w:rPr>
          <w:rFonts w:ascii="Calibri" w:hAnsi="Calibri" w:cs="Calibri" w:eastAsia="Calibri"/>
          <w:sz w:val="21"/>
          <w:szCs w:val="21"/>
          <w:color w:val="0B1F3A"/>
          <w:b/>
          <w:bCs/>
          <w:caps w:val="true"/>
        </w:rPr>
        <w:t xml:space="preserve">8.  NEXT STEP IF APPROVED</w:t>
      </w:r>
    </w:p>
    <w:p>
      <w:pPr>
        <w:jc w:val="left"/>
        <w:spacing w:before="0" w:after="140" w:line="276" w:lineRule="auto"/>
      </w:pPr>
      <w:r>
        <w:rPr>
          <w:rFonts w:ascii="Calibri" w:hAnsi="Calibri" w:cs="Calibri" w:eastAsia="Calibri"/>
          <w:sz w:val="21"/>
          <w:szCs w:val="21"/>
          <w:color w:val="1C2430"/>
        </w:rPr>
        <w:t xml:space="preserve">Week 0–3: bind packs, name co-examiners, request the ethics letter, sign IP. I will convene two short doctor workshops for Studio 3 (a fifty-drug safety pack; about two hundred teaching prescriptions). Studio 4 workshops proceed only if a coder is named.</w:t>
      </w:r>
    </w:p>
    <w:p>
      <w:pPr>
        <w:jc w:val="left"/>
        <w:spacing w:before="0" w:after="140" w:line="276" w:lineRule="auto"/>
      </w:pPr>
      <w:r>
        <w:rPr>
          <w:rFonts w:ascii="Calibri" w:hAnsi="Calibri" w:cs="Calibri" w:eastAsia="Calibri"/>
          <w:sz w:val="21"/>
          <w:szCs w:val="21"/>
          <w:color w:val="1C2430"/>
        </w:rPr>
        <w:t xml:space="preserve">I can present this in fifteen minutes. I do not need a committee to design the bank. I need cover to assign students, to ask Medicine for time, and to issue the ethics letter.</w:t>
      </w:r>
    </w:p>
    <w:p>
      <w:pPr>
        <w:jc w:val="left"/>
        <w:spacing w:before="0" w:after="200" w:line="276" w:lineRule="auto"/>
      </w:pPr>
    </w:p>
    <w:p>
      <w:pPr>
        <w:jc w:val="left"/>
        <w:spacing w:before="0" w:after="400" w:line="276" w:lineRule="auto"/>
      </w:pPr>
      <w:r>
        <w:rPr>
          <w:rFonts w:ascii="Calibri" w:hAnsi="Calibri" w:cs="Calibri" w:eastAsia="Calibri"/>
          <w:sz w:val="21"/>
          <w:szCs w:val="21"/>
          <w:color w:val="1C2430"/>
        </w:rPr>
        <w:t xml:space="preserve">Respectfully,</w:t>
      </w:r>
    </w:p>
    <w:p>
      <w:pPr>
        <w:jc w:val="left"/>
        <w:spacing w:before="0" w:after="20" w:line="240" w:lineRule="auto"/>
      </w:pPr>
      <w:r>
        <w:rPr>
          <w:rFonts w:ascii="Calibri" w:hAnsi="Calibri" w:cs="Calibri" w:eastAsia="Calibri"/>
          <w:sz w:val="22"/>
          <w:szCs w:val="22"/>
          <w:color w:val="0B1F3A"/>
          <w:b/>
          <w:bCs/>
        </w:rPr>
        <w:t xml:space="preserve">Dr. Ahmed</w:t>
      </w:r>
    </w:p>
    <w:p>
      <w:pPr>
        <w:jc w:val="left"/>
        <w:spacing w:before="0" w:after="0" w:line="220" w:lineRule="auto"/>
      </w:pPr>
      <w:r>
        <w:rPr>
          <w:rFonts w:ascii="Calibri" w:hAnsi="Calibri" w:cs="Calibri" w:eastAsia="Calibri"/>
          <w:sz w:val="19"/>
          <w:szCs w:val="19"/>
          <w:color w:val="4A5560"/>
        </w:rPr>
        <w:t xml:space="preserve">College of Medicine, AASTMT</w:t>
      </w:r>
    </w:p>
    <w:p>
      <w:pPr>
        <w:jc w:val="left"/>
        <w:spacing w:before="0" w:after="200" w:line="220" w:lineRule="auto"/>
      </w:pPr>
      <w:r>
        <w:rPr>
          <w:rFonts w:ascii="Calibri" w:hAnsi="Calibri" w:cs="Calibri" w:eastAsia="Calibri"/>
          <w:sz w:val="19"/>
          <w:szCs w:val="19"/>
          <w:color w:val="4A5560"/>
        </w:rPr>
        <w:t xml:space="preserve">Industrial supervisor, proposed graduation studios — College of AI, Alamein</w:t>
      </w:r>
    </w:p>
    <w:p>
      <w:pPr>
        <w:jc w:val="left"/>
        <w:spacing w:before="0" w:after="0" w:line="240" w:lineRule="auto"/>
      </w:pPr>
      <w:r>
        <w:rPr>
          <w:rFonts w:ascii="Calibri" w:hAnsi="Calibri" w:cs="Calibri" w:eastAsia="Calibri"/>
          <w:sz w:val="16"/>
          <w:szCs w:val="16"/>
          <w:color w:val="4A5560"/>
          <w:i/>
          <w:iCs/>
        </w:rPr>
        <w:t xml:space="preserve">Attachment: none required. A full thirty-card catalogue is held by the supervisor and can be tabled on request. This brief is the document to decide from.</w:t>
      </w:r>
    </w:p>
    <w:sectPr>
      <w:headerReference w:type="default" r:id="rId1"/>
      <w:footerReference w:type="default" r:id="rId2"/>
      <w:pgSz w:w="11906" w:h="16838"/>
      <w:pgMar w:top="1440" w:right="1134" w:bottom="1280" w:left="1134" w:header="560" w:footer="56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6" w:space="6" w:color="D0D5DD"/>
      </w:pBdr>
      <w:tabs>
        <w:tab w:val="right" w:pos="9500"/>
      </w:tabs>
      <w:spacing w:before="80"/>
    </w:pPr>
    <w:r>
      <w:rPr>
        <w:rFonts w:ascii="Calibri" w:hAnsi="Calibri" w:cs="Calibri" w:eastAsia="Calibri"/>
        <w:sz w:val="14"/>
        <w:szCs w:val="14"/>
        <w:color w:val="4A5560"/>
      </w:rPr>
      <w:t>Internal  ·  Not for publication  ·  Teaching data only  ·  Not a medical device</w:t>
    </w:r>
    <w:r>
      <w:rPr>
        <w:rFonts w:ascii="Calibri" w:hAnsi="Calibri" w:cs="Calibri" w:eastAsia="Calibri"/>
        <w:sz w:val="14"/>
        <w:szCs w:val="14"/>
        <w:color w:val="4A5560"/>
      </w:rPr>
      <w:tab/>
      <w:t>Page </w:t>
    </w:r>
    <w:r>
      <w:rPr>
        <w:rFonts w:ascii="Calibri" w:hAnsi="Calibri" w:cs="Calibri" w:eastAsia="Calibri"/>
        <w:sz w:val="14"/>
        <w:szCs w:val="14"/>
        <w:color w:val="4A5560"/>
      </w:rPr>
      <w:fldChar w:fldCharType="begin"/>
    </w:r>
    <w:r>
      <w:rPr>
        <w:rFonts w:ascii="Calibri" w:hAnsi="Calibri" w:cs="Calibri" w:eastAsia="Calibri"/>
        <w:sz w:val="14"/>
        <w:szCs w:val="14"/>
        <w:color w:val="4A5560"/>
      </w:rPr>
      <w:instrText xml:space="preserve"> PAGE </w:instrText>
    </w:r>
    <w:r>
      <w:rPr>
        <w:rFonts w:ascii="Calibri" w:hAnsi="Calibri" w:cs="Calibri" w:eastAsia="Calibri"/>
        <w:sz w:val="14"/>
        <w:szCs w:val="14"/>
        <w:color w:val="4A5560"/>
      </w:rPr>
      <w:fldChar w:fldCharType="end"/>
    </w:r>
    <w:r>
      <w:rPr>
        <w:rFonts w:ascii="Calibri" w:hAnsi="Calibri" w:cs="Calibri" w:eastAsia="Calibri"/>
        <w:sz w:val="14"/>
        <w:szCs w:val="14"/>
        <w:color w:val="4A5560"/>
      </w:rPr>
      <w:t> of </w:t>
    </w:r>
    <w:r>
      <w:rPr>
        <w:rFonts w:ascii="Calibri" w:hAnsi="Calibri" w:cs="Calibri" w:eastAsia="Calibri"/>
        <w:sz w:val="14"/>
        <w:szCs w:val="14"/>
        <w:color w:val="4A5560"/>
      </w:rPr>
      <w:fldChar w:fldCharType="begin"/>
    </w:r>
    <w:r>
      <w:rPr>
        <w:rFonts w:ascii="Calibri" w:hAnsi="Calibri" w:cs="Calibri" w:eastAsia="Calibri"/>
        <w:sz w:val="14"/>
        <w:szCs w:val="14"/>
        <w:color w:val="4A5560"/>
      </w:rPr>
      <w:instrText xml:space="preserve"> NUMPAGES </w:instrText>
    </w:r>
    <w:r>
      <w:rPr>
        <w:rFonts w:ascii="Calibri" w:hAnsi="Calibri" w:cs="Calibri" w:eastAsia="Calibri"/>
        <w:sz w:val="14"/>
        <w:szCs w:val="14"/>
        <w:color w:val="4A5560"/>
      </w:rP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12" w:space="4" w:color="B8952C"/>
      </w:pBdr>
      <w:tabs>
        <w:tab w:val="right" w:pos="9500"/>
      </w:tabs>
      <w:spacing w:after="80" w:before="0"/>
    </w:pPr>
    <w:r>
      <w:rPr>
        <w:rFonts w:ascii="Calibri" w:hAnsi="Calibri" w:cs="Calibri" w:eastAsia="Calibri"/>
        <w:sz w:val="15"/>
        <w:szCs w:val="15"/>
        <w:color w:val="0B1F3A"/>
        <w:b/>
        <w:bCs/>
        <w:caps w:val="true"/>
      </w:rPr>
      <w:t>AASTMT  ·  ALAMEIN  ·  COLLEGE OF AI</w:t>
    </w:r>
    <w:r>
      <w:rPr>
        <w:rFonts w:ascii="Calibri" w:hAnsi="Calibri" w:cs="Calibri" w:eastAsia="Calibri"/>
        <w:sz w:val="15"/>
        <w:szCs w:val="15"/>
        <w:color w:val="4A5560"/>
      </w:rPr>
      <w:tab/>
      <w:t>DECISION BRIEF  ·  CAI-ALM/GP/2026-27</w:t>
    </w:r>
  </w:p>
</w:hdr>
</file>

<file path=word/settings.xml><?xml version="1.0" encoding="utf-8"?>
<w:settings xmlns:w="http://schemas.openxmlformats.org/wordprocessingml/2006/main">
  <w:displayBackgroundShape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  <w:szCs w:val="22"/>
        <w:color w:val="1C2430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  <Relationship Id="rId3" Type="http://schemas.openxmlformats.org/officeDocument/2006/relationships/styles" Target="styles.xml"/>
  <Relationship Id="rId4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>
  <Application>AASTMT College of AI</Application>
  <Pages>2</Pages>
  <Company>Arab Academy for Science, Technology &amp; Maritime Transport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Graduation-project studios 2026/27 — Chairman decision brief</dc:title>
  <dc:subject>College of AI, AASTMT Alamein</dc:subject>
  <dc:creator>Dr. Ahmed, College of Medicine, AASTMT</dc:creator>
  <cp:lastModifiedBy>Dr. Ahmed, College of Medicine, AASTMT</cp:lastModifiedBy>
  <dcterms:created xsi:type="dcterms:W3CDTF">2026-09-30T09:00:00Z</dcterms:created>
  <dcterms:modified xsi:type="dcterms:W3CDTF">2026-09-30T09:00:00Z</dcterms:modified>
  <dc:description>Decision brief for four graduation-project studios, academic year 2026/27.</dc:description>
  <cp:revision>1</cp:revision>
</cp:coreProperties>
</file>