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005CA8"/>
            <w:tcBorders>
              <w:top w:val="single" w:sz="4" w:space="0" w:color="005CA8"/>
              <w:left w:val="single" w:sz="4" w:space="0" w:color="005CA8"/>
              <w:bottom w:val="single" w:sz="4" w:space="0" w:color="005CA8"/>
              <w:right w:val="single" w:sz="4" w:space="0" w:color="005CA8"/>
            </w:tcBorders>
          </w:tcPr>
          <w:p>
            <w:pPr>
              <w:spacing w:after="0"/>
            </w:pPr>
          </w:p>
        </w:tc>
      </w:tr>
    </w:tbl>
    <w:p>
      <w:pPr>
        <w:spacing w:before="0" w:after="600"/>
      </w:pPr>
    </w:p>
    <w:p>
      <w:pPr>
        <w:spacing w:before="0" w:after="40"/>
        <w:jc w:val="center"/>
      </w:pPr>
      <w:r>
        <w:rPr>
          <w:rFonts w:ascii="Calibri" w:hAnsi="Calibri"/>
          <w:b/>
          <w:color w:val="1A1A2E"/>
          <w:sz w:val="52"/>
        </w:rPr>
        <w:t>GREENHOUSE GAS EMISSIONS REPORT</w:t>
      </w:r>
    </w:p>
    <w:p>
      <w:pPr>
        <w:spacing w:before="0" w:after="80"/>
        <w:jc w:val="center"/>
      </w:pPr>
      <w:r>
        <w:rPr>
          <w:rFonts w:ascii="Calibri" w:hAnsi="Calibri"/>
          <w:color w:val="005CA8"/>
          <w:sz w:val="28"/>
        </w:rPr>
        <w:t>Carbon Footprint Inventory &amp; Verification Statement</w:t>
      </w:r>
    </w:p>
    <w:p>
      <w:pPr>
        <w:spacing w:before="40" w:after="200"/>
        <w:jc w:val="center"/>
      </w:pPr>
      <w:r>
        <w:rPr>
          <w:color w:val="005CA8"/>
        </w:rPr>
        <w:t>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/>
          <w:sz w:val="26"/>
        </w:rPr>
        <w:t>Arab Academy for Science, Technology &amp; Maritime Transport</w:t>
      </w:r>
    </w:p>
    <w:p>
      <w:pPr>
        <w:spacing w:before="0" w:after="320"/>
        <w:jc w:val="center"/>
      </w:pPr>
      <w:r>
        <w:rPr>
          <w:rFonts w:ascii="Calibri" w:hAnsi="Calibri"/>
          <w:color w:val="555555"/>
          <w:sz w:val="22"/>
        </w:rPr>
        <w:t>Smart Village Campus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94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5CA8"/>
                <w:sz w:val="19"/>
              </w:rPr>
              <w:t>Reporting Period</w:t>
            </w:r>
          </w:p>
        </w:tc>
        <w:tc>
          <w:tcPr>
            <w:tcW w:type="dxa" w:w="61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FY 2025–2026 (1 July 2025 – 30 June 2026)</w:t>
            </w:r>
          </w:p>
        </w:tc>
      </w:tr>
      <w:tr>
        <w:tc>
          <w:tcPr>
            <w:tcW w:type="dxa" w:w="294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5CA8"/>
                <w:sz w:val="19"/>
              </w:rPr>
              <w:t>Base Year</w:t>
            </w:r>
          </w:p>
        </w:tc>
        <w:tc>
          <w:tcPr>
            <w:tcW w:type="dxa" w:w="61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FY 2023–2024</w:t>
            </w:r>
          </w:p>
        </w:tc>
      </w:tr>
      <w:tr>
        <w:tc>
          <w:tcPr>
            <w:tcW w:type="dxa" w:w="294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5CA8"/>
                <w:sz w:val="19"/>
              </w:rPr>
              <w:t>Prepared By</w:t>
            </w:r>
          </w:p>
        </w:tc>
        <w:tc>
          <w:tcPr>
            <w:tcW w:type="dxa" w:w="61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Carbon Data Trust Platform — Digital Intelligence Office</w:t>
            </w:r>
          </w:p>
        </w:tc>
      </w:tr>
      <w:tr>
        <w:tc>
          <w:tcPr>
            <w:tcW w:type="dxa" w:w="294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5CA8"/>
                <w:sz w:val="19"/>
              </w:rPr>
              <w:t>Date of Issue</w:t>
            </w:r>
          </w:p>
        </w:tc>
        <w:tc>
          <w:tcPr>
            <w:tcW w:type="dxa" w:w="61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26 August 2026</w:t>
            </w:r>
          </w:p>
        </w:tc>
      </w:tr>
      <w:tr>
        <w:tc>
          <w:tcPr>
            <w:tcW w:type="dxa" w:w="294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5CA8"/>
                <w:sz w:val="19"/>
              </w:rPr>
              <w:t>Document Version</w:t>
            </w:r>
          </w:p>
        </w:tc>
        <w:tc>
          <w:tcPr>
            <w:tcW w:type="dxa" w:w="61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1.0</w:t>
            </w:r>
          </w:p>
        </w:tc>
      </w:tr>
      <w:tr>
        <w:tc>
          <w:tcPr>
            <w:tcW w:type="dxa" w:w="294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5CA8"/>
                <w:sz w:val="19"/>
              </w:rPr>
              <w:t>Accounting Standard</w:t>
            </w:r>
          </w:p>
        </w:tc>
        <w:tc>
          <w:tcPr>
            <w:tcW w:type="dxa" w:w="61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GHG Protocol Corporate Standard  •  ISO 14064-1:2018</w:t>
            </w:r>
          </w:p>
        </w:tc>
      </w:tr>
      <w:tr>
        <w:tc>
          <w:tcPr>
            <w:tcW w:type="dxa" w:w="294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5CA8"/>
                <w:sz w:val="19"/>
              </w:rPr>
              <w:t>Verification Standard</w:t>
            </w:r>
          </w:p>
        </w:tc>
        <w:tc>
          <w:tcPr>
            <w:tcW w:type="dxa" w:w="61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ISO 14064-3:2019 (Reasonable Assurance)  •  ISO 14065:2020</w:t>
            </w:r>
          </w:p>
        </w:tc>
      </w:tr>
      <w:tr>
        <w:tc>
          <w:tcPr>
            <w:tcW w:type="dxa" w:w="294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5CA8"/>
                <w:sz w:val="19"/>
              </w:rPr>
              <w:t>Global Warming Potentials</w:t>
            </w:r>
          </w:p>
        </w:tc>
        <w:tc>
          <w:tcPr>
            <w:tcW w:type="dxa" w:w="61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IPCC Sixth Assessment Report (AR6), 100-year</w:t>
            </w:r>
          </w:p>
        </w:tc>
      </w:tr>
    </w:tbl>
    <w:p>
      <w:pPr>
        <w:spacing w:before="0" w:after="400"/>
      </w:pPr>
    </w:p>
    <w:p>
      <w:pPr>
        <w:spacing w:before="0" w:after="0"/>
        <w:jc w:val="center"/>
      </w:pPr>
      <w:r>
        <w:rPr>
          <w:rFonts w:ascii="Calibri" w:hAnsi="Calibri"/>
          <w:i/>
          <w:color w:val="555555"/>
          <w:sz w:val="18"/>
        </w:rPr>
        <w:t>Prepared for external verification by an accredited verification body</w:t>
      </w:r>
    </w:p>
    <w:p>
      <w:r>
        <w:br w:type="page"/>
      </w:r>
    </w:p>
    <w:p>
      <w:pPr>
        <w:spacing w:before="280" w:after="8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26"/>
        </w:rPr>
        <w:t>Document Control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247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701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2608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Prepared By</w:t>
            </w:r>
          </w:p>
        </w:tc>
        <w:tc>
          <w:tcPr>
            <w:tcW w:type="dxa" w:w="1701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Reviewed By</w:t>
            </w:r>
          </w:p>
        </w:tc>
        <w:tc>
          <w:tcPr>
            <w:tcW w:type="dxa" w:w="1701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Approved By</w:t>
            </w:r>
          </w:p>
        </w:tc>
        <w:tc>
          <w:tcPr>
            <w:tcW w:type="dxa" w:w="1587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1.0</w:t>
            </w:r>
          </w:p>
        </w:tc>
        <w:tc>
          <w:tcPr>
            <w:tcW w:type="dxa" w:w="170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26 August 2026</w:t>
            </w:r>
          </w:p>
        </w:tc>
        <w:tc>
          <w:tcPr>
            <w:tcW w:type="dxa" w:w="26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Carbon Data Trust Platform — Digital Intelligence Office</w:t>
            </w:r>
          </w:p>
        </w:tc>
        <w:tc>
          <w:tcPr>
            <w:tcW w:type="dxa" w:w="170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[Reviewer Name]</w:t>
            </w:r>
          </w:p>
        </w:tc>
        <w:tc>
          <w:tcPr>
            <w:tcW w:type="dxa" w:w="170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[Approver Name]</w:t>
            </w:r>
          </w:p>
        </w:tc>
        <w:tc>
          <w:tcPr>
            <w:tcW w:type="dxa" w:w="158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For Verification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Calibri" w:hAnsi="Calibri"/>
          <w:sz w:val="21"/>
        </w:rPr>
        <w:t>This document is the controlled GHG inventory report of the AASTMT Smart Village Campus for the reporting period above. Any changes must be recorded in this table.</w:t>
      </w:r>
    </w:p>
    <w:p>
      <w:pPr>
        <w:spacing w:before="280" w:after="8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26"/>
        </w:rPr>
        <w:t>Table of Contents</w:t>
      </w:r>
    </w:p>
    <w:p>
      <w:pPr>
        <w:spacing w:before="0" w:after="40"/>
      </w:pPr>
      <w:r>
        <w:rPr>
          <w:rFonts w:ascii="Calibri" w:hAnsi="Calibri"/>
          <w:color w:val="1A1A2E"/>
          <w:sz w:val="21"/>
        </w:rPr>
        <w:t>Executive Summary</w:t>
      </w:r>
    </w:p>
    <w:p>
      <w:pPr>
        <w:spacing w:before="0" w:after="40"/>
      </w:pPr>
      <w:r>
        <w:rPr>
          <w:rFonts w:ascii="Calibri" w:hAnsi="Calibri"/>
          <w:color w:val="1A1A2E"/>
          <w:sz w:val="21"/>
        </w:rPr>
        <w:t>1. Introduction &amp; Purpose</w:t>
      </w:r>
    </w:p>
    <w:p>
      <w:pPr>
        <w:spacing w:before="0" w:after="40"/>
      </w:pPr>
      <w:r>
        <w:rPr>
          <w:rFonts w:ascii="Calibri" w:hAnsi="Calibri"/>
          <w:color w:val="1A1A2E"/>
          <w:sz w:val="21"/>
        </w:rPr>
        <w:t>2. Organisational Description &amp; Boundary</w:t>
      </w:r>
    </w:p>
    <w:p>
      <w:pPr>
        <w:spacing w:before="0" w:after="40"/>
      </w:pPr>
      <w:r>
        <w:rPr>
          <w:rFonts w:ascii="Calibri" w:hAnsi="Calibri"/>
          <w:color w:val="1A1A2E"/>
          <w:sz w:val="21"/>
        </w:rPr>
        <w:t>3. Reporting Period &amp; Base Year</w:t>
      </w:r>
    </w:p>
    <w:p>
      <w:pPr>
        <w:spacing w:before="0" w:after="40"/>
      </w:pPr>
      <w:r>
        <w:rPr>
          <w:rFonts w:ascii="Calibri" w:hAnsi="Calibri"/>
          <w:color w:val="1A1A2E"/>
          <w:sz w:val="21"/>
        </w:rPr>
        <w:t>4. Methodology &amp; Standards</w:t>
      </w:r>
    </w:p>
    <w:p>
      <w:pPr>
        <w:spacing w:before="0" w:after="40"/>
      </w:pPr>
      <w:r>
        <w:rPr>
          <w:rFonts w:ascii="Calibri" w:hAnsi="Calibri"/>
          <w:color w:val="1A1A2E"/>
          <w:sz w:val="21"/>
        </w:rPr>
        <w:t>5. Operational Boundaries (Scope 1, 2 &amp; 3)</w:t>
      </w:r>
    </w:p>
    <w:p>
      <w:pPr>
        <w:spacing w:before="0" w:after="40"/>
      </w:pPr>
      <w:r>
        <w:rPr>
          <w:rFonts w:ascii="Calibri" w:hAnsi="Calibri"/>
          <w:color w:val="1A1A2E"/>
          <w:sz w:val="21"/>
        </w:rPr>
        <w:t>6. Activity Data &amp; Emission Factors</w:t>
      </w:r>
    </w:p>
    <w:p>
      <w:pPr>
        <w:spacing w:before="0" w:after="40"/>
      </w:pPr>
      <w:r>
        <w:rPr>
          <w:rFonts w:ascii="Calibri" w:hAnsi="Calibri"/>
          <w:color w:val="1A1A2E"/>
          <w:sz w:val="21"/>
        </w:rPr>
        <w:t>7. Results — Greenhouse Gas Inventory</w:t>
      </w:r>
    </w:p>
    <w:p>
      <w:pPr>
        <w:spacing w:before="0" w:after="40"/>
      </w:pPr>
      <w:r>
        <w:rPr>
          <w:rFonts w:ascii="Calibri" w:hAnsi="Calibri"/>
          <w:color w:val="1A1A2E"/>
          <w:sz w:val="21"/>
        </w:rPr>
        <w:t>8. Data Quality, Uncertainty &amp; Materiality</w:t>
      </w:r>
    </w:p>
    <w:p>
      <w:pPr>
        <w:spacing w:before="0" w:after="40"/>
      </w:pPr>
      <w:r>
        <w:rPr>
          <w:rFonts w:ascii="Calibri" w:hAnsi="Calibri"/>
          <w:color w:val="1A1A2E"/>
          <w:sz w:val="21"/>
        </w:rPr>
        <w:t>9. Data Management, QA/QC &amp; Audit Trail</w:t>
      </w:r>
    </w:p>
    <w:p>
      <w:pPr>
        <w:spacing w:before="0" w:after="40"/>
      </w:pPr>
      <w:r>
        <w:rPr>
          <w:rFonts w:ascii="Calibri" w:hAnsi="Calibri"/>
          <w:color w:val="1A1A2E"/>
          <w:sz w:val="21"/>
        </w:rPr>
        <w:t>10. Verification Approach (ISO 14064-3)</w:t>
      </w:r>
    </w:p>
    <w:p>
      <w:pPr>
        <w:spacing w:before="0" w:after="40"/>
      </w:pPr>
      <w:r>
        <w:rPr>
          <w:rFonts w:ascii="Calibri" w:hAnsi="Calibri"/>
          <w:color w:val="1A1A2E"/>
          <w:sz w:val="21"/>
        </w:rPr>
        <w:t>11. Climate Targets (SBTi)</w:t>
      </w:r>
    </w:p>
    <w:p>
      <w:pPr>
        <w:spacing w:before="0" w:after="40"/>
      </w:pPr>
      <w:r>
        <w:rPr>
          <w:rFonts w:ascii="Calibri" w:hAnsi="Calibri"/>
          <w:color w:val="1A1A2E"/>
          <w:sz w:val="21"/>
        </w:rPr>
        <w:t>12. Conclusions &amp; Statement of Conformance</w:t>
      </w:r>
    </w:p>
    <w:p>
      <w:pPr>
        <w:spacing w:before="0" w:after="40"/>
      </w:pPr>
      <w:r>
        <w:rPr>
          <w:rFonts w:ascii="Calibri" w:hAnsi="Calibri"/>
          <w:sz w:val="21"/>
        </w:rPr>
        <w:t>Appendix A — Emission Factor Library</w:t>
      </w:r>
    </w:p>
    <w:p>
      <w:pPr>
        <w:spacing w:before="0" w:after="40"/>
      </w:pPr>
      <w:r>
        <w:rPr>
          <w:rFonts w:ascii="Calibri" w:hAnsi="Calibri"/>
          <w:sz w:val="21"/>
        </w:rPr>
        <w:t>Appendix B — Global Warming Potentials (AR6)</w:t>
      </w:r>
    </w:p>
    <w:p>
      <w:pPr>
        <w:spacing w:before="0" w:after="40"/>
      </w:pPr>
      <w:r>
        <w:rPr>
          <w:rFonts w:ascii="Calibri" w:hAnsi="Calibri"/>
          <w:sz w:val="21"/>
        </w:rPr>
        <w:t>Appendix C — Calculation Traceability Sample</w:t>
      </w:r>
    </w:p>
    <w:p>
      <w:pPr>
        <w:spacing w:before="0" w:after="40"/>
      </w:pPr>
      <w:r>
        <w:rPr>
          <w:rFonts w:ascii="Calibri" w:hAnsi="Calibri"/>
          <w:sz w:val="21"/>
        </w:rPr>
        <w:t>Appendix D — Abbreviations &amp; Glossary</w:t>
      </w:r>
    </w:p>
    <w:p>
      <w:pPr>
        <w:spacing w:before="0" w:after="40"/>
      </w:pPr>
      <w:r>
        <w:rPr>
          <w:rFonts w:ascii="Calibri" w:hAnsi="Calibri"/>
          <w:sz w:val="21"/>
        </w:rPr>
        <w:t>الملخص التنفيذي (ملخص باللغة العربية)</w:t>
      </w:r>
    </w:p>
    <w:p>
      <w:r>
        <w:br w:type="page"/>
      </w:r>
    </w:p>
    <w:p>
      <w:pPr>
        <w:spacing w:before="280" w:after="8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26"/>
        </w:rPr>
        <w:t>Executive Summary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This report presents the greenhouse gas (GHG) inventory of the Smart Village Campus of the Arab Academy for Science, Technology &amp; Maritime Transport (AASTMT) for FY 2025–2026 (1 July 2025 – 30 June 2026), prepared in accordance with the </w:t>
      </w:r>
      <w:r>
        <w:rPr>
          <w:rFonts w:ascii="Calibri" w:hAnsi="Calibri"/>
          <w:b/>
          <w:sz w:val="21"/>
        </w:rPr>
        <w:t>GHG Protocol Corporate Accounting and Reporting Standard</w:t>
      </w:r>
      <w:r>
        <w:rPr>
          <w:rFonts w:ascii="Calibri" w:hAnsi="Calibri"/>
          <w:sz w:val="21"/>
        </w:rPr>
        <w:t xml:space="preserve"> and </w:t>
      </w:r>
      <w:r>
        <w:rPr>
          <w:rFonts w:ascii="Calibri" w:hAnsi="Calibri"/>
          <w:b/>
          <w:sz w:val="21"/>
        </w:rPr>
        <w:t>ISO 14064-1:2018</w:t>
      </w:r>
      <w:r>
        <w:rPr>
          <w:rFonts w:ascii="Calibri" w:hAnsi="Calibri"/>
          <w:sz w:val="21"/>
        </w:rPr>
        <w:t>.</w:t>
      </w:r>
    </w:p>
    <w:p>
      <w:pPr>
        <w:spacing w:before="0" w:after="100"/>
      </w:pPr>
      <w:r>
        <w:rPr>
          <w:rFonts w:ascii="Calibri" w:hAnsi="Calibri"/>
          <w:sz w:val="21"/>
        </w:rPr>
        <w:t>Total verified emissions for the reporting period amount to **</w:t>
      </w:r>
      <w:r>
        <w:rPr>
          <w:rFonts w:ascii="Calibri" w:hAnsi="Calibri"/>
          <w:b/>
          <w:sz w:val="21"/>
        </w:rPr>
        <w:t>2,958.0 t CO₂e</w:t>
      </w:r>
      <w:r>
        <w:rPr>
          <w:rFonts w:ascii="Calibri" w:hAnsi="Calibri"/>
          <w:sz w:val="21"/>
        </w:rPr>
        <w:t>**, dominated by purchased energy (Scope 2). The inventory is supported by a fully traceable data platform, providing the documented audit trail required for reasonable-assurance verification under ISO 14064-3:2019.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color="auto" w:fill="EEF4FB"/>
            <w:tcBorders>
              <w:top w:val="single" w:sz="4" w:space="0" w:color="BBD3EA"/>
              <w:left w:val="single" w:sz="4" w:space="0" w:color="BBD3EA"/>
              <w:bottom w:val="single" w:sz="4" w:space="0" w:color="BBD3EA"/>
              <w:right w:val="single" w:sz="4" w:space="0" w:color="BBD3EA"/>
            </w:tcBorders>
          </w:tcPr>
          <w:p>
            <w:pPr>
              <w:spacing w:before="80" w:after="0"/>
              <w:jc w:val="center"/>
            </w:pPr>
            <w:r>
              <w:rPr>
                <w:rFonts w:ascii="Calibri" w:hAnsi="Calibri"/>
                <w:b/>
                <w:color w:val="005CA8"/>
                <w:sz w:val="30"/>
              </w:rPr>
              <w:t>2,958.0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t CO₂e — Total emissions</w:t>
            </w:r>
          </w:p>
        </w:tc>
        <w:tc>
          <w:tcPr>
            <w:tcW w:type="dxa" w:w="2268"/>
            <w:vAlign w:val="center"/>
            <w:shd w:val="clear" w:color="auto" w:fill="EEF4FB"/>
            <w:tcBorders>
              <w:top w:val="single" w:sz="4" w:space="0" w:color="BBD3EA"/>
              <w:left w:val="single" w:sz="4" w:space="0" w:color="BBD3EA"/>
              <w:bottom w:val="single" w:sz="4" w:space="0" w:color="BBD3EA"/>
              <w:right w:val="single" w:sz="4" w:space="0" w:color="BBD3EA"/>
            </w:tcBorders>
          </w:tcPr>
          <w:p>
            <w:pPr>
              <w:spacing w:before="80" w:after="0"/>
              <w:jc w:val="center"/>
            </w:pPr>
            <w:r>
              <w:rPr>
                <w:rFonts w:ascii="Calibri" w:hAnsi="Calibri"/>
                <w:b/>
                <w:color w:val="005CA8"/>
                <w:sz w:val="30"/>
              </w:rPr>
              <w:t>96.0%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Scope 2 share (purchased energy)</w:t>
            </w:r>
          </w:p>
        </w:tc>
        <w:tc>
          <w:tcPr>
            <w:tcW w:type="dxa" w:w="2268"/>
            <w:vAlign w:val="center"/>
            <w:shd w:val="clear" w:color="auto" w:fill="EEF4FB"/>
            <w:tcBorders>
              <w:top w:val="single" w:sz="4" w:space="0" w:color="BBD3EA"/>
              <w:left w:val="single" w:sz="4" w:space="0" w:color="BBD3EA"/>
              <w:bottom w:val="single" w:sz="4" w:space="0" w:color="BBD3EA"/>
              <w:right w:val="single" w:sz="4" w:space="0" w:color="BBD3EA"/>
            </w:tcBorders>
          </w:tcPr>
          <w:p>
            <w:pPr>
              <w:spacing w:before="80" w:after="0"/>
              <w:jc w:val="center"/>
            </w:pPr>
            <w:r>
              <w:rPr>
                <w:rFonts w:ascii="Calibri" w:hAnsi="Calibri"/>
                <w:b/>
                <w:color w:val="005CA8"/>
                <w:sz w:val="30"/>
              </w:rPr>
              <w:t>21.9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t CO₂e — Scope 1 (direct)</w:t>
            </w:r>
          </w:p>
        </w:tc>
        <w:tc>
          <w:tcPr>
            <w:tcW w:type="dxa" w:w="2268"/>
            <w:vAlign w:val="center"/>
            <w:shd w:val="clear" w:color="auto" w:fill="EEF4FB"/>
            <w:tcBorders>
              <w:top w:val="single" w:sz="4" w:space="0" w:color="BBD3EA"/>
              <w:left w:val="single" w:sz="4" w:space="0" w:color="BBD3EA"/>
              <w:bottom w:val="single" w:sz="4" w:space="0" w:color="BBD3EA"/>
              <w:right w:val="single" w:sz="4" w:space="0" w:color="BBD3EA"/>
            </w:tcBorders>
          </w:tcPr>
          <w:p>
            <w:pPr>
              <w:spacing w:before="80" w:after="0"/>
              <w:jc w:val="center"/>
            </w:pPr>
            <w:r>
              <w:rPr>
                <w:rFonts w:ascii="Calibri" w:hAnsi="Calibri"/>
                <w:b/>
                <w:color w:val="005CA8"/>
                <w:sz w:val="30"/>
              </w:rPr>
              <w:t>98.3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t CO₂e — Scope 3 (value chain)</w:t>
            </w:r>
          </w:p>
        </w:tc>
      </w:tr>
    </w:tbl>
    <w:p>
      <w:pPr>
        <w:spacing w:before="0" w:after="120"/>
      </w:pPr>
    </w:p>
    <w:p>
      <w:pPr>
        <w:spacing w:before="200" w:after="60"/>
      </w:pPr>
      <w:r>
        <w:rPr>
          <w:rFonts w:ascii="Calibri" w:hAnsi="Calibri"/>
          <w:b/>
          <w:color w:val="1A1A2E"/>
          <w:sz w:val="22"/>
        </w:rPr>
        <w:t>Inventory summary by scope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47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Scope</w:t>
            </w:r>
          </w:p>
        </w:tc>
        <w:tc>
          <w:tcPr>
            <w:tcW w:type="dxa" w:w="5443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361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 CO₂e</w:t>
            </w:r>
          </w:p>
        </w:tc>
        <w:tc>
          <w:tcPr>
            <w:tcW w:type="dxa" w:w="1361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% of total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Scope 1</w:t>
            </w:r>
          </w:p>
        </w:tc>
        <w:tc>
          <w:tcPr>
            <w:tcW w:type="dxa" w:w="544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Direct emissions — stationary combustion (generators), mobile combustion (fleet), fugitive (fire suppression/refrigerants)</w:t>
            </w:r>
          </w:p>
        </w:tc>
        <w:tc>
          <w:tcPr>
            <w:tcW w:type="dxa" w:w="136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21.9</w:t>
            </w:r>
          </w:p>
        </w:tc>
        <w:tc>
          <w:tcPr>
            <w:tcW w:type="dxa" w:w="136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0.7%</w:t>
            </w:r>
          </w:p>
        </w:tc>
      </w:tr>
      <w:tr>
        <w:tc>
          <w:tcPr>
            <w:tcW w:type="dxa" w:w="1247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Scope 2</w:t>
            </w:r>
          </w:p>
        </w:tc>
        <w:tc>
          <w:tcPr>
            <w:tcW w:type="dxa" w:w="5443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Indirect — purchased electricity &amp; chilled water (location-based)</w:t>
            </w:r>
          </w:p>
        </w:tc>
        <w:tc>
          <w:tcPr>
            <w:tcW w:type="dxa" w:w="1361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2,837.8</w:t>
            </w:r>
          </w:p>
        </w:tc>
        <w:tc>
          <w:tcPr>
            <w:tcW w:type="dxa" w:w="1361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95.9%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Scope 3</w:t>
            </w:r>
          </w:p>
        </w:tc>
        <w:tc>
          <w:tcPr>
            <w:tcW w:type="dxa" w:w="544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Other indirect — water, waste, paper, rented assets</w:t>
            </w:r>
          </w:p>
        </w:tc>
        <w:tc>
          <w:tcPr>
            <w:tcW w:type="dxa" w:w="136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98.3</w:t>
            </w:r>
          </w:p>
        </w:tc>
        <w:tc>
          <w:tcPr>
            <w:tcW w:type="dxa" w:w="136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3.3%</w:t>
            </w:r>
          </w:p>
        </w:tc>
      </w:tr>
      <w:tr>
        <w:tc>
          <w:tcPr>
            <w:tcW w:type="dxa" w:w="1247"/>
            <w:vAlign w:val="center"/>
            <w:shd w:val="clear" w:color="auto" w:fill="F8FBFF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Total</w:t>
            </w:r>
          </w:p>
        </w:tc>
        <w:tc>
          <w:tcPr>
            <w:tcW w:type="dxa" w:w="5443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361"/>
            <w:vAlign w:val="center"/>
            <w:shd w:val="clear" w:color="auto" w:fill="F8FBFF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/>
                <w:sz w:val="19"/>
              </w:rPr>
              <w:t>**2,958.0</w:t>
            </w:r>
          </w:p>
        </w:tc>
        <w:tc>
          <w:tcPr>
            <w:tcW w:type="dxa" w:w="1361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100.0%</w:t>
            </w:r>
          </w:p>
        </w:tc>
      </w:tr>
    </w:tbl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sz w:val="21"/>
        </w:rPr>
        <w:t>Key strengths of this submission: an operational-control boundary, a defined base year with recalculation policy, per-gas emission factors sourced and versioned, IPCC AR6 global warming potentials, and an immutable calculation audit trail.</w:t>
      </w:r>
    </w:p>
    <w:p>
      <w:r>
        <w:br w:type="page"/>
      </w:r>
    </w:p>
    <w:p>
      <w:pPr>
        <w:spacing w:before="280" w:after="8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26"/>
        </w:rPr>
        <w:t>1. Introduction &amp; Purpose</w:t>
      </w:r>
    </w:p>
    <w:p>
      <w:pPr>
        <w:spacing w:before="0" w:after="100"/>
      </w:pPr>
      <w:r>
        <w:rPr>
          <w:rFonts w:ascii="Calibri" w:hAnsi="Calibri"/>
          <w:sz w:val="21"/>
        </w:rPr>
        <w:t>The purpose of this report is to disclose the greenhouse gas emissions of the AASTMT Smart Village Campus in a manner that is complete, consistent, transparent, accurate and verifiable. It is prepared for submission to an independent, accredited verification body for a reasonable-assurance engagement in accordance with ISO 14064-3:2019.</w:t>
      </w:r>
    </w:p>
    <w:p>
      <w:pPr>
        <w:spacing w:before="0" w:after="60"/>
      </w:pPr>
      <w:r>
        <w:rPr>
          <w:rFonts w:ascii="Calibri" w:hAnsi="Calibri"/>
          <w:sz w:val="21"/>
        </w:rPr>
        <w:t>The report fulfils three objectives: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sz w:val="21"/>
        </w:rPr>
        <w:t>Provide a complete, quantified GHG inventory for the reporting period.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sz w:val="21"/>
        </w:rPr>
        <w:t>Document the methodology, boundaries, data and QA/QC so a verifier can reproduce every figure.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sz w:val="21"/>
        </w:rPr>
        <w:t>Establish a durable baseline against which reduction targets are measured.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2"/>
        </w:rPr>
        <w:t>Intended audience</w:t>
      </w:r>
    </w:p>
    <w:p>
      <w:pPr>
        <w:spacing w:before="0" w:after="100"/>
      </w:pPr>
      <w:r>
        <w:rPr>
          <w:rFonts w:ascii="Calibri" w:hAnsi="Calibri"/>
          <w:sz w:val="21"/>
        </w:rPr>
        <w:t>The primary audience is the verification body engaged to assure this statement. Secondary audiences include AASTMT management, regulators, accreditation bodies, and sustainability rating stakeholders.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2"/>
        </w:rPr>
        <w:t>Reference standards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09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Standard</w:t>
            </w:r>
          </w:p>
        </w:tc>
        <w:tc>
          <w:tcPr>
            <w:tcW w:type="dxa" w:w="4762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430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GHG Protocol — Corporate Accounting &amp; Reporting Standard</w:t>
            </w:r>
          </w:p>
        </w:tc>
        <w:tc>
          <w:tcPr>
            <w:tcW w:type="dxa" w:w="476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Accounting framework (7 Kyoto gases; Scope 1/2/3)</w:t>
            </w:r>
          </w:p>
        </w:tc>
      </w:tr>
      <w:tr>
        <w:tc>
          <w:tcPr>
            <w:tcW w:type="dxa" w:w="4309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GHG Protocol — Scope 2 Guidance (2015)</w:t>
            </w:r>
          </w:p>
        </w:tc>
        <w:tc>
          <w:tcPr>
            <w:tcW w:type="dxa" w:w="4762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Location-based &amp; market-based electricity</w:t>
            </w:r>
          </w:p>
        </w:tc>
      </w:tr>
      <w:tr>
        <w:tc>
          <w:tcPr>
            <w:tcW w:type="dxa" w:w="430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ISO 14064-1:2018</w:t>
            </w:r>
          </w:p>
        </w:tc>
        <w:tc>
          <w:tcPr>
            <w:tcW w:type="dxa" w:w="476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Organisation-level quantification &amp; reporting</w:t>
            </w:r>
          </w:p>
        </w:tc>
      </w:tr>
      <w:tr>
        <w:tc>
          <w:tcPr>
            <w:tcW w:type="dxa" w:w="4309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ISO 14064-3:2019</w:t>
            </w:r>
          </w:p>
        </w:tc>
        <w:tc>
          <w:tcPr>
            <w:tcW w:type="dxa" w:w="4762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Verification &amp; validation of GHG statements</w:t>
            </w:r>
          </w:p>
        </w:tc>
      </w:tr>
      <w:tr>
        <w:tc>
          <w:tcPr>
            <w:tcW w:type="dxa" w:w="430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ISO 14065:2020</w:t>
            </w:r>
          </w:p>
        </w:tc>
        <w:tc>
          <w:tcPr>
            <w:tcW w:type="dxa" w:w="476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Requirements for the verification body (accreditation)</w:t>
            </w:r>
          </w:p>
        </w:tc>
      </w:tr>
      <w:tr>
        <w:tc>
          <w:tcPr>
            <w:tcW w:type="dxa" w:w="4309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IPCC AR6 (2021)</w:t>
            </w:r>
          </w:p>
        </w:tc>
        <w:tc>
          <w:tcPr>
            <w:tcW w:type="dxa" w:w="4762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Global warming potentials (100-year)</w:t>
            </w:r>
          </w:p>
        </w:tc>
      </w:tr>
    </w:tbl>
    <w:p>
      <w:pPr>
        <w:spacing w:before="280" w:after="8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26"/>
        </w:rPr>
        <w:t>2. Organisational Description &amp; Boundary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The </w:t>
      </w:r>
      <w:r>
        <w:rPr>
          <w:rFonts w:ascii="Calibri" w:hAnsi="Calibri"/>
          <w:b/>
          <w:sz w:val="21"/>
        </w:rPr>
        <w:t>Arab Academy for Science, Technology &amp; Maritime Transport</w:t>
      </w:r>
      <w:r>
        <w:rPr>
          <w:rFonts w:ascii="Calibri" w:hAnsi="Calibri"/>
          <w:sz w:val="21"/>
        </w:rPr>
        <w:t xml:space="preserve"> (AASTMT) is a regional higher-education and research institution operating multiple campuses and facilities. This report covers the </w:t>
      </w:r>
      <w:r>
        <w:rPr>
          <w:rFonts w:ascii="Calibri" w:hAnsi="Calibri"/>
          <w:b/>
          <w:sz w:val="21"/>
        </w:rPr>
        <w:t>Smart Village Campus</w:t>
      </w:r>
      <w:r>
        <w:rPr>
          <w:rFonts w:ascii="Calibri" w:hAnsi="Calibri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2"/>
        </w:rPr>
        <w:t>Consolidation approach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In accordance with the GHG Protocol Corporate Standard, the organisation selected the </w:t>
      </w:r>
      <w:r>
        <w:rPr>
          <w:rFonts w:ascii="Calibri" w:hAnsi="Calibri"/>
          <w:b/>
          <w:sz w:val="21"/>
        </w:rPr>
        <w:t>operational control approach</w:t>
      </w:r>
      <w:r>
        <w:rPr>
          <w:rFonts w:ascii="Calibri" w:hAnsi="Calibri"/>
          <w:sz w:val="21"/>
        </w:rPr>
        <w:t>. Emissions are reported for all sources over which AASTMT holds operational control — that is, the authority to introduce and implement operating policies. This is the most representative approach for a campus operator that manages its own utilities and facilities.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2"/>
        </w:rPr>
        <w:t>Organisational units in scope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09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Organisational Unit</w:t>
            </w:r>
          </w:p>
        </w:tc>
        <w:tc>
          <w:tcPr>
            <w:tcW w:type="dxa" w:w="4762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Role in Inventory</w:t>
            </w:r>
          </w:p>
        </w:tc>
      </w:tr>
      <w:tr>
        <w:tc>
          <w:tcPr>
            <w:tcW w:type="dxa" w:w="430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AASTMT — Smart Village Campus</w:t>
            </w:r>
          </w:p>
        </w:tc>
        <w:tc>
          <w:tcPr>
            <w:tcW w:type="dxa" w:w="476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Reporting entity / boundary root</w:t>
            </w:r>
          </w:p>
        </w:tc>
      </w:tr>
      <w:tr>
        <w:tc>
          <w:tcPr>
            <w:tcW w:type="dxa" w:w="4309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Facilities &amp; Utilities</w:t>
            </w:r>
          </w:p>
        </w:tc>
        <w:tc>
          <w:tcPr>
            <w:tcW w:type="dxa" w:w="4762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Electricity, chilled water, water, generators</w:t>
            </w:r>
          </w:p>
        </w:tc>
      </w:tr>
      <w:tr>
        <w:tc>
          <w:tcPr>
            <w:tcW w:type="dxa" w:w="430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Energy / Utilities</w:t>
            </w:r>
          </w:p>
        </w:tc>
        <w:tc>
          <w:tcPr>
            <w:tcW w:type="dxa" w:w="476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Meter readings, energy data</w:t>
            </w:r>
          </w:p>
        </w:tc>
      </w:tr>
      <w:tr>
        <w:tc>
          <w:tcPr>
            <w:tcW w:type="dxa" w:w="4309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Transport / Fleet</w:t>
            </w:r>
          </w:p>
        </w:tc>
        <w:tc>
          <w:tcPr>
            <w:tcW w:type="dxa" w:w="4762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Fleet fuel consumption (Scope 1 mobile)</w:t>
            </w:r>
          </w:p>
        </w:tc>
      </w:tr>
      <w:tr>
        <w:tc>
          <w:tcPr>
            <w:tcW w:type="dxa" w:w="430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Procurement</w:t>
            </w:r>
          </w:p>
        </w:tc>
        <w:tc>
          <w:tcPr>
            <w:tcW w:type="dxa" w:w="476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Purchased goods &amp; services (Scope 3)</w:t>
            </w:r>
          </w:p>
        </w:tc>
      </w:tr>
      <w:tr>
        <w:tc>
          <w:tcPr>
            <w:tcW w:type="dxa" w:w="4309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Campus Services</w:t>
            </w:r>
          </w:p>
        </w:tc>
        <w:tc>
          <w:tcPr>
            <w:tcW w:type="dxa" w:w="4762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Waste, paper, campus operations</w:t>
            </w:r>
          </w:p>
        </w:tc>
      </w:tr>
    </w:tbl>
    <w:p>
      <w:pPr>
        <w:spacing w:before="280" w:after="8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26"/>
        </w:rPr>
        <w:t>3. Reporting Period &amp; Base Year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The reporting period is </w:t>
      </w:r>
      <w:r>
        <w:rPr>
          <w:rFonts w:ascii="Calibri" w:hAnsi="Calibri"/>
          <w:b/>
          <w:sz w:val="21"/>
        </w:rPr>
        <w:t>FY 2025–2026 (1 July 2025 – 30 June 2026)</w:t>
      </w:r>
      <w:r>
        <w:rPr>
          <w:rFonts w:ascii="Calibri" w:hAnsi="Calibri"/>
          <w:sz w:val="21"/>
        </w:rPr>
        <w:t xml:space="preserve">. The base year is </w:t>
      </w:r>
      <w:r>
        <w:rPr>
          <w:rFonts w:ascii="Calibri" w:hAnsi="Calibri"/>
          <w:b/>
          <w:sz w:val="21"/>
        </w:rPr>
        <w:t>FY 2023–2024</w:t>
      </w:r>
      <w:r>
        <w:rPr>
          <w:rFonts w:ascii="Calibri" w:hAnsi="Calibri"/>
          <w:sz w:val="21"/>
        </w:rPr>
        <w:t>, being the first year for which a complete, platform-verified inventory was produced.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2"/>
        </w:rPr>
        <w:t>Base year recalculation policy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Base year emissions are recalculated when a structural change (acquisition, divestment, transfer of ownership, or a change in calculation methodology or emission factors) alters the base year inventory by more than the significance threshold of </w:t>
      </w:r>
      <w:r>
        <w:rPr>
          <w:rFonts w:ascii="Calibri" w:hAnsi="Calibri"/>
          <w:b/>
          <w:sz w:val="21"/>
        </w:rPr>
        <w:t>5.00%</w:t>
      </w:r>
      <w:r>
        <w:rPr>
          <w:rFonts w:ascii="Calibri" w:hAnsi="Calibri"/>
          <w:sz w:val="21"/>
        </w:rPr>
        <w:t>. Recalculations below this threshold are not restated but are noted. This policy is enforced in the platform's BaseYear governance model.</w:t>
      </w:r>
    </w:p>
    <w:p>
      <w:pPr>
        <w:spacing w:before="280" w:after="8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26"/>
        </w:rPr>
        <w:t>4. Methodology &amp; Standards</w:t>
      </w:r>
    </w:p>
    <w:p>
      <w:pPr>
        <w:spacing w:before="0" w:after="100"/>
      </w:pPr>
      <w:r>
        <w:rPr>
          <w:rFonts w:ascii="Calibri" w:hAnsi="Calibri"/>
          <w:sz w:val="21"/>
        </w:rPr>
        <w:t>Emissions are calculated using the activity-data method, the most common and transparent approach:</w:t>
      </w:r>
    </w:p>
    <w:p>
      <w:pPr>
        <w:spacing w:before="0" w:after="40"/>
      </w:pPr>
    </w:p>
    <w:p>
      <w:pPr>
        <w:spacing w:before="40" w:after="120"/>
        <w:jc w:val="center"/>
      </w:pPr>
      <w:r>
        <w:rPr>
          <w:rFonts w:ascii="Calibri" w:hAnsi="Calibri"/>
          <w:b/>
          <w:color w:val="1A1A2E"/>
          <w:sz w:val="22"/>
        </w:rPr>
        <w:t>Emissions (t CO₂e) = Activity Data × Emission Factor × GWP</w:t>
      </w:r>
    </w:p>
    <w:p>
      <w:pPr>
        <w:spacing w:before="0" w:after="100"/>
      </w:pPr>
      <w:r>
        <w:rPr>
          <w:rFonts w:ascii="Calibri" w:hAnsi="Calibri"/>
          <w:sz w:val="21"/>
        </w:rPr>
        <w:t>Activity data are obtained from metered readings (electricity, chilled water, water) and fuel/refrigerant records. Emission factors are sourced, versioned and date-stamped in the platform's factor library. Global warming potentials use IPCC AR6 100-year values.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2"/>
        </w:rPr>
        <w:t>Global warming potentials applied (AR6, 100-year)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Gas</w:t>
            </w:r>
          </w:p>
        </w:tc>
        <w:tc>
          <w:tcPr>
            <w:tcW w:type="dxa" w:w="2608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Chemical Formula</w:t>
            </w:r>
          </w:p>
        </w:tc>
        <w:tc>
          <w:tcPr>
            <w:tcW w:type="dxa" w:w="3628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GWP-100 (AR6)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Carbon dioxide</w:t>
            </w:r>
          </w:p>
        </w:tc>
        <w:tc>
          <w:tcPr>
            <w:tcW w:type="dxa" w:w="26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CO₂</w:t>
            </w:r>
          </w:p>
        </w:tc>
        <w:tc>
          <w:tcPr>
            <w:tcW w:type="dxa" w:w="362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</w:t>
            </w:r>
          </w:p>
        </w:tc>
      </w:tr>
      <w:tr>
        <w:tc>
          <w:tcPr>
            <w:tcW w:type="dxa" w:w="2835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Methane</w:t>
            </w:r>
          </w:p>
        </w:tc>
        <w:tc>
          <w:tcPr>
            <w:tcW w:type="dxa" w:w="2608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CH₄</w:t>
            </w:r>
          </w:p>
        </w:tc>
        <w:tc>
          <w:tcPr>
            <w:tcW w:type="dxa" w:w="3628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27.9 (non-fossil) / 29.8 (fossil)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Nitrous oxide</w:t>
            </w:r>
          </w:p>
        </w:tc>
        <w:tc>
          <w:tcPr>
            <w:tcW w:type="dxa" w:w="26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N₂O</w:t>
            </w:r>
          </w:p>
        </w:tc>
        <w:tc>
          <w:tcPr>
            <w:tcW w:type="dxa" w:w="362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273</w:t>
            </w:r>
          </w:p>
        </w:tc>
      </w:tr>
    </w:tbl>
    <w:p>
      <w:pPr>
        <w:spacing w:before="0" w:after="100"/>
      </w:pPr>
      <w:r>
        <w:rPr>
          <w:rFonts w:ascii="Calibri" w:hAnsi="Calibri"/>
          <w:sz w:val="21"/>
        </w:rPr>
        <w:t>The seven Kyoto gases (CO₂, CH₄, N₂O, HFCs, PFCs, SF₆, NF₃) are within the inventory scope; the platform currently quantifies the gases relevant to this campus's activity profile (CO₂, CH₄, N₂O).</w:t>
      </w:r>
    </w:p>
    <w:p>
      <w:pPr>
        <w:spacing w:before="280" w:after="8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26"/>
        </w:rPr>
        <w:t>5. Operational Boundaries (Scope 1, 2 &amp; 3)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361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Scope</w:t>
            </w:r>
          </w:p>
        </w:tc>
        <w:tc>
          <w:tcPr>
            <w:tcW w:type="dxa" w:w="3175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535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Sources at Smart Village</w:t>
            </w:r>
          </w:p>
        </w:tc>
      </w:tr>
      <w:tr>
        <w:tc>
          <w:tcPr>
            <w:tcW w:type="dxa" w:w="136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Scope 1</w:t>
            </w:r>
          </w:p>
        </w:tc>
        <w:tc>
          <w:tcPr>
            <w:tcW w:type="dxa" w:w="317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Stationary combustion</w:t>
            </w:r>
          </w:p>
        </w:tc>
        <w:tc>
          <w:tcPr>
            <w:tcW w:type="dxa" w:w="453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Backup diesel generators</w:t>
            </w:r>
          </w:p>
        </w:tc>
      </w:tr>
      <w:tr>
        <w:tc>
          <w:tcPr>
            <w:tcW w:type="dxa" w:w="1361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Scope 1</w:t>
            </w:r>
          </w:p>
        </w:tc>
        <w:tc>
          <w:tcPr>
            <w:tcW w:type="dxa" w:w="3175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Mobile combustion</w:t>
            </w:r>
          </w:p>
        </w:tc>
        <w:tc>
          <w:tcPr>
            <w:tcW w:type="dxa" w:w="4535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Campus fleet vehicles</w:t>
            </w:r>
          </w:p>
        </w:tc>
      </w:tr>
      <w:tr>
        <w:tc>
          <w:tcPr>
            <w:tcW w:type="dxa" w:w="136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Scope 1</w:t>
            </w:r>
          </w:p>
        </w:tc>
        <w:tc>
          <w:tcPr>
            <w:tcW w:type="dxa" w:w="317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Fugitive emissions</w:t>
            </w:r>
          </w:p>
        </w:tc>
        <w:tc>
          <w:tcPr>
            <w:tcW w:type="dxa" w:w="453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Fire suppression, refrigerants</w:t>
            </w:r>
          </w:p>
        </w:tc>
      </w:tr>
      <w:tr>
        <w:tc>
          <w:tcPr>
            <w:tcW w:type="dxa" w:w="1361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Scope 2</w:t>
            </w:r>
          </w:p>
        </w:tc>
        <w:tc>
          <w:tcPr>
            <w:tcW w:type="dxa" w:w="3175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Purchased electricity</w:t>
            </w:r>
          </w:p>
        </w:tc>
        <w:tc>
          <w:tcPr>
            <w:tcW w:type="dxa" w:w="4535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Grid electricity (location-based)</w:t>
            </w:r>
          </w:p>
        </w:tc>
      </w:tr>
      <w:tr>
        <w:tc>
          <w:tcPr>
            <w:tcW w:type="dxa" w:w="136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Scope 2</w:t>
            </w:r>
          </w:p>
        </w:tc>
        <w:tc>
          <w:tcPr>
            <w:tcW w:type="dxa" w:w="317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Purchased cooling</w:t>
            </w:r>
          </w:p>
        </w:tc>
        <w:tc>
          <w:tcPr>
            <w:tcW w:type="dxa" w:w="453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District chilled water</w:t>
            </w:r>
          </w:p>
        </w:tc>
      </w:tr>
      <w:tr>
        <w:tc>
          <w:tcPr>
            <w:tcW w:type="dxa" w:w="1361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Scope 3</w:t>
            </w:r>
          </w:p>
        </w:tc>
        <w:tc>
          <w:tcPr>
            <w:tcW w:type="dxa" w:w="3175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Water &amp; waste</w:t>
            </w:r>
          </w:p>
        </w:tc>
        <w:tc>
          <w:tcPr>
            <w:tcW w:type="dxa" w:w="4535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Water supply, solid waste, paper</w:t>
            </w:r>
          </w:p>
        </w:tc>
      </w:tr>
      <w:tr>
        <w:tc>
          <w:tcPr>
            <w:tcW w:type="dxa" w:w="136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Scope 3</w:t>
            </w:r>
          </w:p>
        </w:tc>
        <w:tc>
          <w:tcPr>
            <w:tcW w:type="dxa" w:w="317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Purchased goods &amp; services</w:t>
            </w:r>
          </w:p>
        </w:tc>
        <w:tc>
          <w:tcPr>
            <w:tcW w:type="dxa" w:w="453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Procurement, rented assets</w:t>
            </w:r>
          </w:p>
        </w:tc>
      </w:tr>
    </w:tbl>
    <w:p>
      <w:pPr>
        <w:spacing w:before="0" w:after="100"/>
      </w:pPr>
      <w:r>
        <w:rPr>
          <w:rFonts w:ascii="Calibri" w:hAnsi="Calibri"/>
          <w:sz w:val="21"/>
        </w:rPr>
        <w:t>Scope 2 is reported on a location-based basis using the Egypt grid average factor. A market-based calculation is maintained in the platform for use when contractual instrument data become available.</w:t>
      </w:r>
    </w:p>
    <w:p>
      <w:pPr>
        <w:spacing w:before="280" w:after="8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26"/>
        </w:rPr>
        <w:t>6. Activity Data &amp; Emission Factors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2"/>
        </w:rPr>
        <w:t>Activity data collection</w:t>
      </w:r>
    </w:p>
    <w:p>
      <w:pPr>
        <w:spacing w:before="0" w:after="100"/>
      </w:pPr>
      <w:r>
        <w:rPr>
          <w:rFonts w:ascii="Calibri" w:hAnsi="Calibri"/>
          <w:sz w:val="21"/>
        </w:rPr>
        <w:t>Monthly activity data are collected from metered sources and entered through the Carbon Data Trust Platform with automated data-quality rules (completeness, range validation, cross-field consistency) applied on entry.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2"/>
        </w:rPr>
        <w:t>Emission factor library (extract)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Factor Code</w:t>
            </w:r>
          </w:p>
        </w:tc>
        <w:tc>
          <w:tcPr>
            <w:tcW w:type="dxa" w:w="3628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1020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Scope</w:t>
            </w:r>
          </w:p>
        </w:tc>
        <w:tc>
          <w:tcPr>
            <w:tcW w:type="dxa" w:w="1134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1587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Unit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EG_GRID_2024</w:t>
            </w:r>
          </w:p>
        </w:tc>
        <w:tc>
          <w:tcPr>
            <w:tcW w:type="dxa" w:w="362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Egypt national grid average (2024)</w:t>
            </w:r>
          </w:p>
        </w:tc>
        <w:tc>
          <w:tcPr>
            <w:tcW w:type="dxa" w:w="102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0.4584</w:t>
            </w:r>
          </w:p>
        </w:tc>
        <w:tc>
          <w:tcPr>
            <w:tcW w:type="dxa" w:w="158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kg CO₂e / kWh</w:t>
            </w:r>
          </w:p>
        </w:tc>
      </w:tr>
      <w:tr>
        <w:tc>
          <w:tcPr>
            <w:tcW w:type="dxa" w:w="2268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EG_WATER_2024</w:t>
            </w:r>
          </w:p>
        </w:tc>
        <w:tc>
          <w:tcPr>
            <w:tcW w:type="dxa" w:w="3628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Water supply &amp; treatment</w:t>
            </w:r>
          </w:p>
        </w:tc>
        <w:tc>
          <w:tcPr>
            <w:tcW w:type="dxa" w:w="1020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134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0.344</w:t>
            </w:r>
          </w:p>
        </w:tc>
        <w:tc>
          <w:tcPr>
            <w:tcW w:type="dxa" w:w="1587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kg CO₂e / m³</w:t>
            </w:r>
          </w:p>
        </w:tc>
      </w:tr>
    </w:tbl>
    <w:p>
      <w:pPr>
        <w:spacing w:before="0" w:after="100"/>
      </w:pPr>
      <w:r>
        <w:rPr>
          <w:rFonts w:ascii="Calibri" w:hAnsi="Calibri"/>
          <w:sz w:val="21"/>
        </w:rPr>
        <w:t>Each factor carries provenance metadata (source, URL, validity window) and is snapshotted at the time of each calculation, so a verified figure can always be reconciled against the factor that produced it.</w:t>
      </w:r>
    </w:p>
    <w:p>
      <w:pPr>
        <w:spacing w:before="280" w:after="8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26"/>
        </w:rPr>
        <w:t>7. Results — Greenhouse Gas Inventory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2"/>
        </w:rPr>
        <w:t>Scope 2 detail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402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268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Emission Factor</w:t>
            </w:r>
          </w:p>
        </w:tc>
        <w:tc>
          <w:tcPr>
            <w:tcW w:type="dxa" w:w="1701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1701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 CO₂e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Purchased electricity (grid, location-based)</w:t>
            </w:r>
          </w:p>
        </w:tc>
        <w:tc>
          <w:tcPr>
            <w:tcW w:type="dxa" w:w="226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0.4584 kg/kWh</w:t>
            </w:r>
          </w:p>
        </w:tc>
        <w:tc>
          <w:tcPr>
            <w:tcW w:type="dxa" w:w="170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3,108.6 MWh</w:t>
            </w:r>
          </w:p>
        </w:tc>
        <w:tc>
          <w:tcPr>
            <w:tcW w:type="dxa" w:w="170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1,425.0</w:t>
            </w:r>
          </w:p>
        </w:tc>
      </w:tr>
      <w:tr>
        <w:tc>
          <w:tcPr>
            <w:tcW w:type="dxa" w:w="3402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Purchased chilled water (district cooling)</w:t>
            </w:r>
          </w:p>
        </w:tc>
        <w:tc>
          <w:tcPr>
            <w:tcW w:type="dxa" w:w="2268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District cooling factor</w:t>
            </w:r>
          </w:p>
        </w:tc>
        <w:tc>
          <w:tcPr>
            <w:tcW w:type="dxa" w:w="1701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701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1,413.0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Scope 2 total</w:t>
            </w:r>
          </w:p>
        </w:tc>
        <w:tc>
          <w:tcPr>
            <w:tcW w:type="dxa" w:w="226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/>
                <w:sz w:val="19"/>
              </w:rPr>
              <w:t>**2,837.8</w:t>
            </w:r>
          </w:p>
        </w:tc>
      </w:tr>
    </w:tbl>
    <w:p>
      <w:pPr>
        <w:spacing w:before="0" w:after="80"/>
      </w:pPr>
    </w:p>
    <w:p>
      <w:pPr>
        <w:spacing w:before="200" w:after="60"/>
      </w:pPr>
      <w:r>
        <w:rPr>
          <w:rFonts w:ascii="Calibri" w:hAnsi="Calibri"/>
          <w:b/>
          <w:color w:val="1A1A2E"/>
          <w:sz w:val="22"/>
        </w:rPr>
        <w:t>Scope 3 detail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402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268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Emission Factor</w:t>
            </w:r>
          </w:p>
        </w:tc>
        <w:tc>
          <w:tcPr>
            <w:tcW w:type="dxa" w:w="1701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1701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 CO₂e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Water consumption</w:t>
            </w:r>
          </w:p>
        </w:tc>
        <w:tc>
          <w:tcPr>
            <w:tcW w:type="dxa" w:w="226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0.344 kg/m³</w:t>
            </w:r>
          </w:p>
        </w:tc>
        <w:tc>
          <w:tcPr>
            <w:tcW w:type="dxa" w:w="170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18,314 m³</w:t>
            </w:r>
          </w:p>
        </w:tc>
        <w:tc>
          <w:tcPr>
            <w:tcW w:type="dxa" w:w="170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6.3</w:t>
            </w:r>
          </w:p>
        </w:tc>
      </w:tr>
      <w:tr>
        <w:tc>
          <w:tcPr>
            <w:tcW w:type="dxa" w:w="3402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Waste, paper &amp; rented assets</w:t>
            </w:r>
          </w:p>
        </w:tc>
        <w:tc>
          <w:tcPr>
            <w:tcW w:type="dxa" w:w="2268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Various</w:t>
            </w:r>
          </w:p>
        </w:tc>
        <w:tc>
          <w:tcPr>
            <w:tcW w:type="dxa" w:w="1701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701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92.0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Scope 3 total</w:t>
            </w:r>
          </w:p>
        </w:tc>
        <w:tc>
          <w:tcPr>
            <w:tcW w:type="dxa" w:w="226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/>
                <w:sz w:val="19"/>
              </w:rPr>
              <w:t>**98.3</w:t>
            </w:r>
          </w:p>
        </w:tc>
      </w:tr>
    </w:tbl>
    <w:p>
      <w:pPr>
        <w:spacing w:before="0" w:after="80"/>
      </w:pPr>
    </w:p>
    <w:p>
      <w:pPr>
        <w:spacing w:before="200" w:after="60"/>
      </w:pPr>
      <w:r>
        <w:rPr>
          <w:rFonts w:ascii="Calibri" w:hAnsi="Calibri"/>
          <w:b/>
          <w:color w:val="1A1A2E"/>
          <w:sz w:val="22"/>
        </w:rPr>
        <w:t>Consolidated inventory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35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Scope</w:t>
            </w:r>
          </w:p>
        </w:tc>
        <w:tc>
          <w:tcPr>
            <w:tcW w:type="dxa" w:w="2268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 CO₂e</w:t>
            </w:r>
          </w:p>
        </w:tc>
        <w:tc>
          <w:tcPr>
            <w:tcW w:type="dxa" w:w="2268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% of total</w:t>
            </w:r>
          </w:p>
        </w:tc>
      </w:tr>
      <w:tr>
        <w:tc>
          <w:tcPr>
            <w:tcW w:type="dxa" w:w="453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Scope 1 — Direct</w:t>
            </w:r>
          </w:p>
        </w:tc>
        <w:tc>
          <w:tcPr>
            <w:tcW w:type="dxa" w:w="226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21.9</w:t>
            </w:r>
          </w:p>
        </w:tc>
        <w:tc>
          <w:tcPr>
            <w:tcW w:type="dxa" w:w="226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0.7%</w:t>
            </w:r>
          </w:p>
        </w:tc>
      </w:tr>
      <w:tr>
        <w:tc>
          <w:tcPr>
            <w:tcW w:type="dxa" w:w="4535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Scope 2 — Purchased energy</w:t>
            </w:r>
          </w:p>
        </w:tc>
        <w:tc>
          <w:tcPr>
            <w:tcW w:type="dxa" w:w="2268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2,837.8</w:t>
            </w:r>
          </w:p>
        </w:tc>
        <w:tc>
          <w:tcPr>
            <w:tcW w:type="dxa" w:w="2268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95.9%</w:t>
            </w:r>
          </w:p>
        </w:tc>
      </w:tr>
      <w:tr>
        <w:tc>
          <w:tcPr>
            <w:tcW w:type="dxa" w:w="453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Scope 3 — Value chain</w:t>
            </w:r>
          </w:p>
        </w:tc>
        <w:tc>
          <w:tcPr>
            <w:tcW w:type="dxa" w:w="226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98.3</w:t>
            </w:r>
          </w:p>
        </w:tc>
        <w:tc>
          <w:tcPr>
            <w:tcW w:type="dxa" w:w="226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3.3%</w:t>
            </w:r>
          </w:p>
        </w:tc>
      </w:tr>
      <w:tr>
        <w:tc>
          <w:tcPr>
            <w:tcW w:type="dxa" w:w="4535"/>
            <w:vAlign w:val="center"/>
            <w:shd w:val="clear" w:color="auto" w:fill="F8FBFF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Total</w:t>
            </w:r>
          </w:p>
        </w:tc>
        <w:tc>
          <w:tcPr>
            <w:tcW w:type="dxa" w:w="2268"/>
            <w:vAlign w:val="center"/>
            <w:shd w:val="clear" w:color="auto" w:fill="F8FBFF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/>
                <w:sz w:val="19"/>
              </w:rPr>
              <w:t>**2,958.0</w:t>
            </w:r>
          </w:p>
        </w:tc>
        <w:tc>
          <w:tcPr>
            <w:tcW w:type="dxa" w:w="2268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100.0%</w:t>
            </w:r>
          </w:p>
        </w:tc>
      </w:tr>
    </w:tbl>
    <w:p>
      <w:pPr>
        <w:spacing w:before="280" w:after="8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26"/>
        </w:rPr>
        <w:t>8. Data Quality, Uncertainty &amp; Materiality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2"/>
        </w:rPr>
        <w:t>Data quality</w:t>
      </w:r>
    </w:p>
    <w:p>
      <w:pPr>
        <w:spacing w:before="0" w:after="100"/>
      </w:pPr>
      <w:r>
        <w:rPr>
          <w:rFonts w:ascii="Calibri" w:hAnsi="Calibri"/>
          <w:sz w:val="21"/>
        </w:rPr>
        <w:t>Every dataset entering the platform carries automated data-quality rules. Violations are scored by severity and surfaced for steward review before any figure can be locked. This provides a quantified data-quality tier per source, supporting the verifier's assessment of evidence reliability.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2"/>
        </w:rPr>
        <w:t>Uncertainty</w:t>
      </w:r>
    </w:p>
    <w:p>
      <w:pPr>
        <w:spacing w:before="0" w:after="100"/>
      </w:pPr>
      <w:r>
        <w:rPr>
          <w:rFonts w:ascii="Calibri" w:hAnsi="Calibri"/>
          <w:sz w:val="21"/>
        </w:rPr>
        <w:t>Primary uncertainty arises from the use of average emission factors (e.g. the national grid factor) rather than supplier-specific or measured factors, and from estimated Scope 3 categories. Uncertainty is mitigated by source-versioned factors, metered activity data, and a documented QA/QC process.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2"/>
        </w:rPr>
        <w:t>Materiality</w:t>
      </w:r>
    </w:p>
    <w:p>
      <w:pPr>
        <w:spacing w:before="0" w:after="100"/>
      </w:pPr>
      <w:r>
        <w:rPr>
          <w:rFonts w:ascii="Calibri" w:hAnsi="Calibri"/>
          <w:sz w:val="21"/>
        </w:rPr>
        <w:t>For this engagement, a quantitative materiality threshold of 5% of total reported emissions is proposed. Misstatements, individually or in aggregate, that exceed this threshold are considered material for the purposes of the verification opinion.</w:t>
      </w:r>
    </w:p>
    <w:p>
      <w:pPr>
        <w:spacing w:before="280" w:after="8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26"/>
        </w:rPr>
        <w:t>9. Data Management, QA/QC &amp; Audit Trail</w:t>
      </w:r>
    </w:p>
    <w:p>
      <w:pPr>
        <w:spacing w:before="0" w:after="100"/>
      </w:pPr>
      <w:r>
        <w:rPr>
          <w:rFonts w:ascii="Calibri" w:hAnsi="Calibri"/>
          <w:sz w:val="21"/>
        </w:rPr>
        <w:t>The Carbon Data Trust Platform underpins the inventory with four governance layers: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sz w:val="21"/>
        </w:rPr>
        <w:t>each dataset carries automated rules (completeness, range, cross-field).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sz w:val="21"/>
        </w:rPr>
        <w:t>every output is traceable end-to-end: source reading → factor → rule → figure.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sz w:val="21"/>
        </w:rPr>
        <w:t>every table, field and dataset is registered with owner, classification and quality score.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sz w:val="21"/>
        </w:rPr>
        <w:t>stewards manage only their own unit's data; access is governed, not informal.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2"/>
        </w:rPr>
        <w:t>Audit trail</w:t>
      </w:r>
    </w:p>
    <w:p>
      <w:pPr>
        <w:spacing w:before="0" w:after="100"/>
      </w:pPr>
      <w:r>
        <w:rPr>
          <w:rFonts w:ascii="Calibri" w:hAnsi="Calibri"/>
          <w:sz w:val="21"/>
        </w:rPr>
        <w:t>Each calculation is recorded in an immutable CalculationAudit log capturing the trigger (single or batch), counts of created/skipped/errored records, and timestamp. Reporting periods follow a controlled state machine (draft → open → locked → submitted → verified) with governance events emitted at each transition, ensuring figures cannot be altered without leaving a record.</w:t>
      </w:r>
    </w:p>
    <w:p>
      <w:pPr>
        <w:spacing w:before="280" w:after="8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26"/>
        </w:rPr>
        <w:t>10. Verification Approach (ISO 14064-3)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This report is prepared for a </w:t>
      </w:r>
      <w:r>
        <w:rPr>
          <w:rFonts w:ascii="Calibri" w:hAnsi="Calibri"/>
          <w:b/>
          <w:sz w:val="21"/>
        </w:rPr>
        <w:t>reasonable-assurance</w:t>
      </w:r>
      <w:r>
        <w:rPr>
          <w:rFonts w:ascii="Calibri" w:hAnsi="Calibri"/>
          <w:sz w:val="21"/>
        </w:rPr>
        <w:t xml:space="preserve"> verification engagement in accordance with </w:t>
      </w:r>
      <w:r>
        <w:rPr>
          <w:rFonts w:ascii="Calibri" w:hAnsi="Calibri"/>
          <w:b/>
          <w:sz w:val="21"/>
        </w:rPr>
        <w:t>ISO 14064-3:2019</w:t>
      </w:r>
      <w:r>
        <w:rPr>
          <w:rFonts w:ascii="Calibri" w:hAnsi="Calibri"/>
          <w:sz w:val="21"/>
        </w:rPr>
        <w:t xml:space="preserve">, conducted by an independent body meeting </w:t>
      </w:r>
      <w:r>
        <w:rPr>
          <w:rFonts w:ascii="Calibri" w:hAnsi="Calibri"/>
          <w:b/>
          <w:sz w:val="21"/>
        </w:rPr>
        <w:t>ISO 14065:2020</w:t>
      </w:r>
      <w:r>
        <w:rPr>
          <w:rFonts w:ascii="Calibri" w:hAnsi="Calibri"/>
          <w:sz w:val="21"/>
        </w:rPr>
        <w:t xml:space="preserve"> and accredited by an accreditation body (e.g. EGAC, UKAS, ANSI, DAkkS).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2"/>
        </w:rPr>
        <w:t>Verification criteria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sz w:val="21"/>
        </w:rPr>
        <w:t>Completeness of organisational and operational boundaries.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sz w:val="21"/>
        </w:rPr>
        <w:t>Accuracy of activity data and appropriateness of emission factors.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sz w:val="21"/>
        </w:rPr>
        <w:t>Correct application of GWPs and calculation methodology.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sz w:val="21"/>
        </w:rPr>
        <w:t>Adequacy of QA/QC and the audit trail.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sz w:val="21"/>
        </w:rPr>
        <w:t>Consistency with the base year and recalculation policy.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2"/>
        </w:rPr>
        <w:t>Verification statement (to be issued)</w:t>
      </w:r>
    </w:p>
    <w:p>
      <w:pPr>
        <w:spacing w:before="0" w:after="100"/>
      </w:pPr>
      <w:r>
        <w:rPr>
          <w:rFonts w:ascii="Calibri" w:hAnsi="Calibri"/>
          <w:sz w:val="21"/>
        </w:rPr>
        <w:t>Upon satisfactory completion of the engagement, the verification body will issue a verification statement attesting whether the GHG statement is materially correct and prepared in accordance with the stated criteria.</w:t>
      </w:r>
    </w:p>
    <w:p>
      <w:pPr>
        <w:spacing w:before="280" w:after="8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26"/>
        </w:rPr>
        <w:t>11. Climate Targets (SBTi)</w:t>
      </w:r>
    </w:p>
    <w:p>
      <w:pPr>
        <w:spacing w:before="0" w:after="100"/>
      </w:pPr>
      <w:r>
        <w:rPr>
          <w:rFonts w:ascii="Calibri" w:hAnsi="Calibri"/>
          <w:sz w:val="21"/>
        </w:rPr>
        <w:t>The platform maintains science-based targets through its SBTiTarget model. The campus has adopted a near-term target aligned with the SBTi 1.5°C pathway: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608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1474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Scope</w:t>
            </w:r>
          </w:p>
        </w:tc>
        <w:tc>
          <w:tcPr>
            <w:tcW w:type="dxa" w:w="1587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Base Year</w:t>
            </w:r>
          </w:p>
        </w:tc>
        <w:tc>
          <w:tcPr>
            <w:tcW w:type="dxa" w:w="1587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Target Year</w:t>
            </w:r>
          </w:p>
        </w:tc>
        <w:tc>
          <w:tcPr>
            <w:tcW w:type="dxa" w:w="1814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Reduction</w:t>
            </w:r>
          </w:p>
        </w:tc>
      </w:tr>
      <w:tr>
        <w:tc>
          <w:tcPr>
            <w:tcW w:type="dxa" w:w="26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Absolute reduction</w:t>
            </w:r>
          </w:p>
        </w:tc>
        <w:tc>
          <w:tcPr>
            <w:tcW w:type="dxa" w:w="147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 + 2</w:t>
            </w:r>
          </w:p>
        </w:tc>
        <w:tc>
          <w:tcPr>
            <w:tcW w:type="dxa" w:w="158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FY 2023–2024</w:t>
            </w:r>
          </w:p>
        </w:tc>
        <w:tc>
          <w:tcPr>
            <w:tcW w:type="dxa" w:w="158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2030</w:t>
            </w:r>
          </w:p>
        </w:tc>
        <w:tc>
          <w:tcPr>
            <w:tcW w:type="dxa" w:w="181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42%</w:t>
            </w:r>
          </w:p>
        </w:tc>
      </w:tr>
      <w:tr>
        <w:tc>
          <w:tcPr>
            <w:tcW w:type="dxa" w:w="2608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Absolute reduction</w:t>
            </w:r>
          </w:p>
        </w:tc>
        <w:tc>
          <w:tcPr>
            <w:tcW w:type="dxa" w:w="1474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 + 2 + 3</w:t>
            </w:r>
          </w:p>
        </w:tc>
        <w:tc>
          <w:tcPr>
            <w:tcW w:type="dxa" w:w="1587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FY 2023–2024</w:t>
            </w:r>
          </w:p>
        </w:tc>
        <w:tc>
          <w:tcPr>
            <w:tcW w:type="dxa" w:w="1587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2030</w:t>
            </w:r>
          </w:p>
        </w:tc>
        <w:tc>
          <w:tcPr>
            <w:tcW w:type="dxa" w:w="1814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Under development</w:t>
            </w:r>
          </w:p>
        </w:tc>
      </w:tr>
    </w:tbl>
    <w:p>
      <w:pPr>
        <w:spacing w:before="0" w:after="100"/>
      </w:pPr>
      <w:r>
        <w:rPr>
          <w:rFonts w:ascii="Calibri" w:hAnsi="Calibri"/>
          <w:sz w:val="21"/>
        </w:rPr>
        <w:t>Progress against targets is tracked against the verified base-year inventory, ensuring target achievement is auditable.</w:t>
      </w:r>
    </w:p>
    <w:p>
      <w:pPr>
        <w:spacing w:before="280" w:after="8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26"/>
        </w:rPr>
        <w:t>12. Conclusions &amp; Statement of Conformance</w:t>
      </w:r>
    </w:p>
    <w:p>
      <w:pPr>
        <w:spacing w:before="0" w:after="100"/>
      </w:pPr>
      <w:r>
        <w:rPr>
          <w:rFonts w:ascii="Calibri" w:hAnsi="Calibri"/>
          <w:sz w:val="21"/>
        </w:rPr>
        <w:t>The Smart Village Campus of Arab Academy for Science, Technology &amp; Maritime Transport reported total GHG emissions of 2,958.0 t CO₂e for FY 2025–2026 (1 July 2025 – 30 June 2026), comprising Scope 1 (21.9 t CO₂e), Scope 2 (2,837.8 t CO₂e) and Scope 3 (98.3 t CO₂e).</w:t>
      </w:r>
    </w:p>
    <w:p>
      <w:pPr>
        <w:spacing w:before="0" w:after="100"/>
      </w:pPr>
      <w:r>
        <w:rPr>
          <w:rFonts w:ascii="Calibri" w:hAnsi="Calibri"/>
          <w:sz w:val="21"/>
        </w:rPr>
        <w:t>The inventory has been prepared in accordance with the GHG Protocol Corporate Accounting and Reporting Standard and ISO 14064-1:2018, using the operational control approach, IPCC AR6 global warming potentials, and a fully documented audit trail.</w:t>
      </w:r>
    </w:p>
    <w:p>
      <w:pPr>
        <w:spacing w:before="0"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EF4FB"/>
            <w:tcBorders>
              <w:top w:val="single" w:sz="4" w:space="0" w:color="BBD3EA"/>
              <w:left w:val="single" w:sz="4" w:space="0" w:color="BBD3EA"/>
              <w:bottom w:val="single" w:sz="4" w:space="0" w:color="BBD3EA"/>
              <w:right w:val="single" w:sz="4" w:space="0" w:color="BBD3EA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1A1A2E"/>
                <w:sz w:val="21"/>
              </w:rPr>
              <w:t>Statement of Conformance: AASTMT asserts that the GHG statement herein is complete, accurate, consistent, transparent and free from material misstatement, prepared in accordance with the GHG Protocol Corporate Standard and ISO 14064-1:2018, and is presented for reasonable-assurance verification under ISO 14064-3:2019.</w:t>
            </w:r>
          </w:p>
        </w:tc>
      </w:tr>
    </w:tbl>
    <w:p>
      <w:pPr>
        <w:spacing w:before="0"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40" w:after="0"/>
            </w:pPr>
            <w:r>
              <w:rPr>
                <w:rFonts w:ascii="Calibri" w:hAnsi="Calibri"/>
                <w:b/>
                <w:color w:val="005CA8"/>
                <w:sz w:val="19"/>
              </w:rPr>
              <w:t>Prepared by</w:t>
            </w:r>
          </w:p>
          <w:p>
            <w:pPr>
              <w:spacing w:before="40" w:after="0"/>
            </w:pPr>
            <w:r>
              <w:rPr>
                <w:rFonts w:ascii="Calibri" w:hAnsi="Calibri"/>
                <w:sz w:val="19"/>
              </w:rPr>
              <w:t>__________________________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555555"/>
                <w:sz w:val="16"/>
              </w:rPr>
              <w:t>Name / Title / Date</w:t>
            </w:r>
          </w:p>
        </w:tc>
        <w:tc>
          <w:tcPr>
            <w:tcW w:type="dxa" w:w="45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40" w:after="0"/>
            </w:pPr>
            <w:r>
              <w:rPr>
                <w:rFonts w:ascii="Calibri" w:hAnsi="Calibri"/>
                <w:b/>
                <w:color w:val="005CA8"/>
                <w:sz w:val="19"/>
              </w:rPr>
              <w:t>Approved by</w:t>
            </w:r>
          </w:p>
          <w:p>
            <w:pPr>
              <w:spacing w:before="40" w:after="0"/>
            </w:pPr>
            <w:r>
              <w:rPr>
                <w:rFonts w:ascii="Calibri" w:hAnsi="Calibri"/>
                <w:sz w:val="19"/>
              </w:rPr>
              <w:t>__________________________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555555"/>
                <w:sz w:val="16"/>
              </w:rPr>
              <w:t>Name / Title / Date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26"/>
        </w:rPr>
        <w:t>Appendix A — Emission Factor Library</w:t>
      </w:r>
    </w:p>
    <w:p>
      <w:pPr>
        <w:spacing w:before="0" w:after="100"/>
      </w:pPr>
      <w:r>
        <w:rPr>
          <w:rFonts w:ascii="Calibri" w:hAnsi="Calibri"/>
          <w:sz w:val="21"/>
        </w:rPr>
        <w:t>The platform maintains a versioned, source-cited emission factor library. The extract below lists the factors used in this inventory; the full library is available to the verifier from the platform's Catalog.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701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Code</w:t>
            </w:r>
          </w:p>
        </w:tc>
        <w:tc>
          <w:tcPr>
            <w:tcW w:type="dxa" w:w="2041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907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Scope</w:t>
            </w:r>
          </w:p>
        </w:tc>
        <w:tc>
          <w:tcPr>
            <w:tcW w:type="dxa" w:w="1134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1474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Unit</w:t>
            </w:r>
          </w:p>
        </w:tc>
        <w:tc>
          <w:tcPr>
            <w:tcW w:type="dxa" w:w="1814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EG_GRID_2024</w:t>
            </w:r>
          </w:p>
        </w:tc>
        <w:tc>
          <w:tcPr>
            <w:tcW w:type="dxa" w:w="204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Egypt Grid Average</w:t>
            </w:r>
          </w:p>
        </w:tc>
        <w:tc>
          <w:tcPr>
            <w:tcW w:type="dxa" w:w="90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0.4584</w:t>
            </w:r>
          </w:p>
        </w:tc>
        <w:tc>
          <w:tcPr>
            <w:tcW w:type="dxa" w:w="147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kg CO₂e/kWh</w:t>
            </w:r>
          </w:p>
        </w:tc>
        <w:tc>
          <w:tcPr>
            <w:tcW w:type="dxa" w:w="181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National grid factor</w:t>
            </w:r>
          </w:p>
        </w:tc>
      </w:tr>
      <w:tr>
        <w:tc>
          <w:tcPr>
            <w:tcW w:type="dxa" w:w="1701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EG_WATER_2024</w:t>
            </w:r>
          </w:p>
        </w:tc>
        <w:tc>
          <w:tcPr>
            <w:tcW w:type="dxa" w:w="2041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Water Supply</w:t>
            </w:r>
          </w:p>
        </w:tc>
        <w:tc>
          <w:tcPr>
            <w:tcW w:type="dxa" w:w="907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134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sz w:val="19"/>
              </w:rPr>
              <w:t>0.344</w:t>
            </w:r>
          </w:p>
        </w:tc>
        <w:tc>
          <w:tcPr>
            <w:tcW w:type="dxa" w:w="1474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kg CO₂e/m³</w:t>
            </w:r>
          </w:p>
        </w:tc>
        <w:tc>
          <w:tcPr>
            <w:tcW w:type="dxa" w:w="1814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Water utility factor</w:t>
            </w:r>
          </w:p>
        </w:tc>
      </w:tr>
    </w:tbl>
    <w:p>
      <w:pPr>
        <w:spacing w:before="280" w:after="8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26"/>
        </w:rPr>
        <w:t>Appendix B — Global Warming Potentials (AR6)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Gas</w:t>
            </w:r>
          </w:p>
        </w:tc>
        <w:tc>
          <w:tcPr>
            <w:tcW w:type="dxa" w:w="4535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GWP-100 (AR6)</w:t>
            </w:r>
          </w:p>
        </w:tc>
      </w:tr>
      <w:tr>
        <w:tc>
          <w:tcPr>
            <w:tcW w:type="dxa" w:w="453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Carbon dioxide (CO₂)</w:t>
            </w:r>
          </w:p>
        </w:tc>
        <w:tc>
          <w:tcPr>
            <w:tcW w:type="dxa" w:w="453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</w:t>
            </w:r>
          </w:p>
        </w:tc>
      </w:tr>
      <w:tr>
        <w:tc>
          <w:tcPr>
            <w:tcW w:type="dxa" w:w="4535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Methane (CH₄)</w:t>
            </w:r>
          </w:p>
        </w:tc>
        <w:tc>
          <w:tcPr>
            <w:tcW w:type="dxa" w:w="4535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27.9 (non-fossil) / 29.8 (fossil)</w:t>
            </w:r>
          </w:p>
        </w:tc>
      </w:tr>
      <w:tr>
        <w:tc>
          <w:tcPr>
            <w:tcW w:type="dxa" w:w="453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Nitrous oxide (N₂O)</w:t>
            </w:r>
          </w:p>
        </w:tc>
        <w:tc>
          <w:tcPr>
            <w:tcW w:type="dxa" w:w="453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273</w:t>
            </w:r>
          </w:p>
        </w:tc>
      </w:tr>
    </w:tbl>
    <w:p>
      <w:pPr>
        <w:spacing w:before="280" w:after="8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26"/>
        </w:rPr>
        <w:t>Appendix C — Calculation Traceability Sample</w:t>
      </w:r>
    </w:p>
    <w:p>
      <w:pPr>
        <w:spacing w:before="0" w:after="100"/>
      </w:pPr>
      <w:r>
        <w:rPr>
          <w:rFonts w:ascii="Calibri" w:hAnsi="Calibri"/>
          <w:sz w:val="21"/>
        </w:rPr>
        <w:t>Example: Scope 2 electricity for the reporting period.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4535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53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Activity data (metered electricity)</w:t>
            </w:r>
          </w:p>
        </w:tc>
        <w:tc>
          <w:tcPr>
            <w:tcW w:type="dxa" w:w="453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3,108.6 MWh</w:t>
            </w:r>
          </w:p>
        </w:tc>
      </w:tr>
      <w:tr>
        <w:tc>
          <w:tcPr>
            <w:tcW w:type="dxa" w:w="4535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Emission factor</w:t>
            </w:r>
          </w:p>
        </w:tc>
        <w:tc>
          <w:tcPr>
            <w:tcW w:type="dxa" w:w="4535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0.4584 kg CO₂e/kWh</w:t>
            </w:r>
          </w:p>
        </w:tc>
      </w:tr>
      <w:tr>
        <w:tc>
          <w:tcPr>
            <w:tcW w:type="dxa" w:w="453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Calculated emissions</w:t>
            </w:r>
          </w:p>
        </w:tc>
        <w:tc>
          <w:tcPr>
            <w:tcW w:type="dxa" w:w="453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1,425.0 t CO₂e</w:t>
            </w:r>
          </w:p>
        </w:tc>
      </w:tr>
    </w:tbl>
    <w:p>
      <w:pPr>
        <w:spacing w:before="0" w:after="100"/>
      </w:pPr>
      <w:r>
        <w:rPr>
          <w:rFonts w:ascii="Calibri" w:hAnsi="Calibri"/>
          <w:sz w:val="21"/>
        </w:rPr>
        <w:t>Every figure in Section 7 can be traced through the same chain (source reading → emission factor → calculation rule → result) in the platform's immutable audit log.</w:t>
      </w:r>
    </w:p>
    <w:p>
      <w:pPr>
        <w:spacing w:before="280" w:after="8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26"/>
        </w:rPr>
        <w:t>Appendix D — Abbreviations &amp; Glossary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041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7030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AASTMT</w:t>
            </w:r>
          </w:p>
        </w:tc>
        <w:tc>
          <w:tcPr>
            <w:tcW w:type="dxa" w:w="703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Arab Academy for Science, Technology &amp; Maritime Transport</w:t>
            </w:r>
          </w:p>
        </w:tc>
      </w:tr>
      <w:tr>
        <w:tc>
          <w:tcPr>
            <w:tcW w:type="dxa" w:w="2041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GHG</w:t>
            </w:r>
          </w:p>
        </w:tc>
        <w:tc>
          <w:tcPr>
            <w:tcW w:type="dxa" w:w="7030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Greenhouse Gas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CO₂e</w:t>
            </w:r>
          </w:p>
        </w:tc>
        <w:tc>
          <w:tcPr>
            <w:tcW w:type="dxa" w:w="703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Carbon dioxide equivalent</w:t>
            </w:r>
          </w:p>
        </w:tc>
      </w:tr>
      <w:tr>
        <w:tc>
          <w:tcPr>
            <w:tcW w:type="dxa" w:w="2041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GWP</w:t>
            </w:r>
          </w:p>
        </w:tc>
        <w:tc>
          <w:tcPr>
            <w:tcW w:type="dxa" w:w="7030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Global Warming Potential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AR6</w:t>
            </w:r>
          </w:p>
        </w:tc>
        <w:tc>
          <w:tcPr>
            <w:tcW w:type="dxa" w:w="703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IPCC Sixth Assessment Report</w:t>
            </w:r>
          </w:p>
        </w:tc>
      </w:tr>
      <w:tr>
        <w:tc>
          <w:tcPr>
            <w:tcW w:type="dxa" w:w="2041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SBTi</w:t>
            </w:r>
          </w:p>
        </w:tc>
        <w:tc>
          <w:tcPr>
            <w:tcW w:type="dxa" w:w="7030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Science Based Targets initiative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QA/QC</w:t>
            </w:r>
          </w:p>
        </w:tc>
        <w:tc>
          <w:tcPr>
            <w:tcW w:type="dxa" w:w="703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Quality Assurance / Quality Control</w:t>
            </w:r>
          </w:p>
        </w:tc>
      </w:tr>
    </w:tbl>
    <w:p>
      <w:r>
        <w:br w:type="page"/>
      </w:r>
    </w:p>
    <w:p>
      <w:pPr>
        <w:spacing w:before="240" w:after="80"/>
        <w:bidi w:val="1"/>
        <w:jc w:val="right"/>
        <w:pBdr>
          <w:bottom w:val="single" w:sz="4" w:space="1" w:color="005CA8"/>
        </w:pBdr>
      </w:pPr>
      <w:r>
        <w:rPr>
          <w:rFonts w:ascii="Arial" w:hAnsi="Arial"/>
          <w:b/>
          <w:color w:val="005CA8"/>
          <w:sz w:val="26"/>
          <w:rtl/>
        </w:rPr>
        <w:t>الملخص التنفيذي (ملخص باللغة العربية)</w:t>
      </w:r>
    </w:p>
    <w:p>
      <w:pPr>
        <w:spacing w:before="0" w:after="100"/>
        <w:bidi w:val="1"/>
        <w:jc w:val="right"/>
      </w:pPr>
      <w:r>
        <w:rPr>
          <w:rFonts w:ascii="Arial" w:hAnsi="Arial"/>
          <w:b w:val="0"/>
          <w:sz w:val="22"/>
          <w:rtl/>
        </w:rPr>
        <w:t>يعرض هذا التقرير جرد انبعاثات الغازات الدفيئة لحرم القرية الذكية التابع لـالأكاديمية العربية للعلوم والتكنولوجيا والنقل البحري عن السنة المالية 2025–2026 (1 يوليو 2025 – 30 يونيو 2026)، وقد أُعدّ وفقًا لمعيار بروتوكول الغازات الدفيئة (GHG Protocol) ومعيار ISO 14064-1:2018.</w:t>
      </w:r>
    </w:p>
    <w:p>
      <w:pPr>
        <w:spacing w:before="0" w:after="100"/>
        <w:bidi w:val="1"/>
        <w:jc w:val="right"/>
      </w:pPr>
      <w:r>
        <w:rPr>
          <w:rFonts w:ascii="Arial" w:hAnsi="Arial"/>
          <w:b/>
          <w:sz w:val="22"/>
          <w:rtl/>
        </w:rPr>
        <w:t>بلغ إجمالي الانبعاثات الموثّقة خلال فترة الإبلاغ **2,958.0 طنًا مكافئًا لثاني أكسيد الكربون (t CO₂e)**، وتُهيمن عليها الطاقة المشتراة (النطاق 2). يرتكز الجرد على منصة بيانات قابلة للتتبّع الكامل، مما يوفر مسار التدقيق المطلوب لمراجعة بمستوى ضمان معقول وفقًا لمعيار ISO 14064-3:2019.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2268"/>
        <w:gridCol w:w="2268"/>
        <w:gridCol w:w="2268"/>
        <w:gridCol w:w="2268"/>
      </w:tblGrid>
      <w:tr>
        <w:tc>
          <w:tcPr>
            <w:tcW w:type="dxa" w:w="1474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النطاق</w:t>
            </w:r>
          </w:p>
        </w:tc>
        <w:tc>
          <w:tcPr>
            <w:tcW w:type="dxa" w:w="4649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الوصف</w:t>
            </w:r>
          </w:p>
        </w:tc>
        <w:tc>
          <w:tcPr>
            <w:tcW w:type="dxa" w:w="1587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t CO₂e</w:t>
            </w:r>
          </w:p>
        </w:tc>
        <w:tc>
          <w:tcPr>
            <w:tcW w:type="dxa" w:w="1361"/>
            <w:vAlign w:val="center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النسبة</w:t>
            </w:r>
          </w:p>
        </w:tc>
      </w:tr>
      <w:tr>
        <w:tc>
          <w:tcPr>
            <w:tcW w:type="dxa" w:w="147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bidi w:val="1"/>
              <w:jc w:val="right"/>
            </w:pPr>
            <w:r>
              <w:rPr>
                <w:rFonts w:ascii="Arial" w:hAnsi="Arial"/>
                <w:sz w:val="20"/>
                <w:rtl/>
              </w:rPr>
              <w:t>النطاق 1</w:t>
            </w:r>
          </w:p>
        </w:tc>
        <w:tc>
          <w:tcPr>
            <w:tcW w:type="dxa" w:w="464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bidi w:val="1"/>
              <w:jc w:val="right"/>
            </w:pPr>
            <w:r>
              <w:rPr>
                <w:rFonts w:ascii="Arial" w:hAnsi="Arial"/>
                <w:sz w:val="20"/>
                <w:rtl/>
              </w:rPr>
              <w:t>انبعاثات مباشرة (مولدات، أسطول، إطفاء حرائق)</w:t>
            </w:r>
          </w:p>
        </w:tc>
        <w:tc>
          <w:tcPr>
            <w:tcW w:type="dxa" w:w="158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bidi w:val="1"/>
              <w:jc w:val="right"/>
            </w:pPr>
            <w:r>
              <w:rPr>
                <w:rFonts w:ascii="Arial" w:hAnsi="Arial"/>
                <w:sz w:val="20"/>
                <w:rtl/>
              </w:rPr>
              <w:t>21.9</w:t>
            </w:r>
          </w:p>
        </w:tc>
        <w:tc>
          <w:tcPr>
            <w:tcW w:type="dxa" w:w="136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bidi w:val="1"/>
              <w:jc w:val="right"/>
            </w:pPr>
            <w:r>
              <w:rPr>
                <w:rFonts w:ascii="Arial" w:hAnsi="Arial"/>
                <w:sz w:val="20"/>
                <w:rtl/>
              </w:rPr>
              <w:t>0.7%</w:t>
            </w:r>
          </w:p>
        </w:tc>
      </w:tr>
      <w:tr>
        <w:tc>
          <w:tcPr>
            <w:tcW w:type="dxa" w:w="1474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bidi w:val="1"/>
              <w:jc w:val="right"/>
            </w:pPr>
            <w:r>
              <w:rPr>
                <w:rFonts w:ascii="Arial" w:hAnsi="Arial"/>
                <w:sz w:val="20"/>
                <w:rtl/>
              </w:rPr>
              <w:t>النطاق 2</w:t>
            </w:r>
          </w:p>
        </w:tc>
        <w:tc>
          <w:tcPr>
            <w:tcW w:type="dxa" w:w="4649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bidi w:val="1"/>
              <w:jc w:val="right"/>
            </w:pPr>
            <w:r>
              <w:rPr>
                <w:rFonts w:ascii="Arial" w:hAnsi="Arial"/>
                <w:sz w:val="20"/>
                <w:rtl/>
              </w:rPr>
              <w:t>طاقة مشتراة (كهرباء وتبريد) — على أساس الموقع</w:t>
            </w:r>
          </w:p>
        </w:tc>
        <w:tc>
          <w:tcPr>
            <w:tcW w:type="dxa" w:w="1587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bidi w:val="1"/>
              <w:jc w:val="right"/>
            </w:pPr>
            <w:r>
              <w:rPr>
                <w:rFonts w:ascii="Arial" w:hAnsi="Arial"/>
                <w:sz w:val="20"/>
                <w:rtl/>
              </w:rPr>
              <w:t>2,837.8</w:t>
            </w:r>
          </w:p>
        </w:tc>
        <w:tc>
          <w:tcPr>
            <w:tcW w:type="dxa" w:w="1361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bidi w:val="1"/>
              <w:jc w:val="right"/>
            </w:pPr>
            <w:r>
              <w:rPr>
                <w:rFonts w:ascii="Arial" w:hAnsi="Arial"/>
                <w:sz w:val="20"/>
                <w:rtl/>
              </w:rPr>
              <w:t>95.9%</w:t>
            </w:r>
          </w:p>
        </w:tc>
      </w:tr>
      <w:tr>
        <w:tc>
          <w:tcPr>
            <w:tcW w:type="dxa" w:w="147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bidi w:val="1"/>
              <w:jc w:val="right"/>
            </w:pPr>
            <w:r>
              <w:rPr>
                <w:rFonts w:ascii="Arial" w:hAnsi="Arial"/>
                <w:sz w:val="20"/>
                <w:rtl/>
              </w:rPr>
              <w:t>النطاق 3</w:t>
            </w:r>
          </w:p>
        </w:tc>
        <w:tc>
          <w:tcPr>
            <w:tcW w:type="dxa" w:w="464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bidi w:val="1"/>
              <w:jc w:val="right"/>
            </w:pPr>
            <w:r>
              <w:rPr>
                <w:rFonts w:ascii="Arial" w:hAnsi="Arial"/>
                <w:sz w:val="20"/>
                <w:rtl/>
              </w:rPr>
              <w:t>سلسلة القيمة (مياه، نفايات، ورق، أصول مستأجرة)</w:t>
            </w:r>
          </w:p>
        </w:tc>
        <w:tc>
          <w:tcPr>
            <w:tcW w:type="dxa" w:w="158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bidi w:val="1"/>
              <w:jc w:val="right"/>
            </w:pPr>
            <w:r>
              <w:rPr>
                <w:rFonts w:ascii="Arial" w:hAnsi="Arial"/>
                <w:sz w:val="20"/>
                <w:rtl/>
              </w:rPr>
              <w:t>98.3</w:t>
            </w:r>
          </w:p>
        </w:tc>
        <w:tc>
          <w:tcPr>
            <w:tcW w:type="dxa" w:w="136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bidi w:val="1"/>
              <w:jc w:val="right"/>
            </w:pPr>
            <w:r>
              <w:rPr>
                <w:rFonts w:ascii="Arial" w:hAnsi="Arial"/>
                <w:sz w:val="20"/>
                <w:rtl/>
              </w:rPr>
              <w:t>3.3%</w:t>
            </w:r>
          </w:p>
        </w:tc>
      </w:tr>
      <w:tr>
        <w:tc>
          <w:tcPr>
            <w:tcW w:type="dxa" w:w="1474"/>
            <w:vAlign w:val="center"/>
            <w:shd w:val="clear" w:color="auto" w:fill="F8FBFF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bidi w:val="1"/>
              <w:jc w:val="right"/>
            </w:pPr>
            <w:r>
              <w:rPr>
                <w:rFonts w:ascii="Arial" w:hAnsi="Arial"/>
                <w:b/>
                <w:sz w:val="20"/>
                <w:rtl/>
              </w:rPr>
              <w:t>الإجمالي</w:t>
            </w:r>
          </w:p>
        </w:tc>
        <w:tc>
          <w:tcPr>
            <w:tcW w:type="dxa" w:w="4649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bidi w:val="1"/>
              <w:jc w:val="right"/>
            </w:pPr>
            <w:r>
              <w:rPr>
                <w:rFonts w:ascii="Arial" w:hAnsi="Arial"/>
                <w:sz w:val="20"/>
                <w:rtl/>
              </w:rPr>
            </w:r>
          </w:p>
        </w:tc>
        <w:tc>
          <w:tcPr>
            <w:tcW w:type="dxa" w:w="1587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bidi w:val="1"/>
              <w:jc w:val="right"/>
            </w:pPr>
            <w:r>
              <w:rPr>
                <w:rFonts w:ascii="Arial" w:hAnsi="Arial"/>
                <w:sz w:val="20"/>
                <w:rtl/>
              </w:rPr>
              <w:t>**2,958.0</w:t>
            </w:r>
          </w:p>
        </w:tc>
        <w:tc>
          <w:tcPr>
            <w:tcW w:type="dxa" w:w="1361"/>
            <w:vAlign w:val="center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bidi w:val="1"/>
              <w:jc w:val="right"/>
            </w:pPr>
            <w:r>
              <w:rPr>
                <w:rFonts w:ascii="Arial" w:hAnsi="Arial"/>
                <w:sz w:val="20"/>
                <w:rtl/>
              </w:rPr>
              <w:t>100.0%</w:t>
            </w:r>
          </w:p>
        </w:tc>
      </w:tr>
    </w:tbl>
    <w:p/>
    <w:p>
      <w:pPr>
        <w:spacing w:before="0" w:after="100"/>
        <w:bidi w:val="1"/>
        <w:jc w:val="right"/>
      </w:pPr>
      <w:r>
        <w:rPr>
          <w:rFonts w:ascii="Arial" w:hAnsi="Arial"/>
          <w:b w:val="0"/>
          <w:sz w:val="22"/>
          <w:rtl/>
        </w:rPr>
        <w:t>يشمل التقرير: وصفًا للحدود التنظيمية والتشغيلية، وسنة الأساس مع سياسة إعادة الاحتساب، وبيانات النشاط وعوامل الانبعاث، ومنهجية القياس، وإجراءات ضمان الجودة ومسار التدقيق، ومنهج المراجعة وفقًا لمعيار ISO 14064-3:2019.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9072"/>
      </w:tblGrid>
      <w:tr>
        <w:tc>
          <w:tcPr>
            <w:tcW w:type="dxa" w:w="9071"/>
            <w:shd w:val="clear" w:color="auto" w:fill="EEF4FB"/>
            <w:tcBorders>
              <w:top w:val="single" w:sz="4" w:space="0" w:color="BBD3EA"/>
              <w:left w:val="single" w:sz="4" w:space="0" w:color="BBD3EA"/>
              <w:bottom w:val="single" w:sz="4" w:space="0" w:color="BBD3EA"/>
              <w:right w:val="single" w:sz="4" w:space="0" w:color="BBD3EA"/>
            </w:tcBorders>
          </w:tcPr>
          <w:p>
            <w:pPr>
              <w:spacing w:before="120" w:after="120"/>
              <w:bidi w:val="1"/>
              <w:jc w:val="right"/>
            </w:pPr>
            <w:r>
              <w:rPr>
                <w:rFonts w:ascii="Arial" w:hAnsi="Arial"/>
                <w:b/>
                <w:color w:val="1A1A2E"/>
                <w:sz w:val="21"/>
                <w:rtl/>
              </w:rPr>
              <w:t>بيان المطابقة: تؤكد الأكاديمية أن بيان الغازات الدفيئة الوارد في هذا التقرير كامل ودقيق ومتسق وشفاف وخالٍ من أي تحريف جوهري، وقد أُعدّ وفقًا لمعيار بروتوكول الغازات الدفيئة ومعيار ISO 14064-1:2018، وهو مقدَّم للمراجعة بمستوى ضمان معقول وفقًا لمعيار ISO 14064-3:2019.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  <w:t xml:space="preserve">Carbon Data Trust Platform — Carbon Verification Report   |   Page </w:t>
    </w:r>
    <w:r>
      <w:rPr>
        <w:color w:val="55555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