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color w:val="005CA8"/>
        </w:rPr>
        <w:br/>
      </w:r>
    </w:p>
    <w:p>
      <w:pPr>
        <w:spacing w:before="0" w:after="40"/>
      </w:pPr>
      <w:r>
        <w:rPr>
          <w:rFonts w:ascii="Calibri" w:hAnsi="Calibri"/>
          <w:b/>
          <w:color w:val="005CA8"/>
          <w:sz w:val="36"/>
        </w:rPr>
        <w:t>MEMORANDUM</w:t>
      </w:r>
    </w:p>
    <w:p>
      <w:pPr>
        <w:spacing w:before="0" w:after="200"/>
      </w:pPr>
      <w:r>
        <w:rPr>
          <w:rFonts w:ascii="Calibri" w:hAnsi="Calibri"/>
          <w:color w:val="555555"/>
          <w:sz w:val="18"/>
        </w:rPr>
        <w:t>Arab Academy for Science, Technology &amp; Maritime Transport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005CA8"/>
                <w:sz w:val="19"/>
              </w:rPr>
              <w:t>To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19"/>
              </w:rPr>
              <w:t>H.E. Prof. [Chairman's Name], Chairman, Board of Trustees</w:t>
            </w:r>
          </w:p>
        </w:tc>
      </w:tr>
      <w:tr>
        <w:tc>
          <w:tcPr>
            <w:tcW w:type="dxa" w:w="1417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005CA8"/>
                <w:sz w:val="19"/>
              </w:rPr>
              <w:t>From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19"/>
              </w:rPr>
              <w:t>[Your Name], Digital Intelligence Office</w:t>
            </w:r>
          </w:p>
        </w:tc>
      </w:tr>
      <w:tr>
        <w:tc>
          <w:tcPr>
            <w:tcW w:type="dxa" w:w="1417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005CA8"/>
                <w:sz w:val="19"/>
              </w:rPr>
              <w:t>Date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19"/>
              </w:rPr>
              <w:t>26 August 2026</w:t>
            </w:r>
          </w:p>
        </w:tc>
      </w:tr>
      <w:tr>
        <w:tc>
          <w:tcPr>
            <w:tcW w:type="dxa" w:w="1417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005CA8"/>
                <w:sz w:val="19"/>
              </w:rPr>
              <w:t>Subject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sz w:val="19"/>
              </w:rPr>
              <w:t>Institutional Data Platform — What We Built and What Comes Next</w:t>
            </w:r>
          </w:p>
        </w:tc>
      </w:tr>
    </w:tbl>
    <w:p/>
    <w:p>
      <w:pPr>
        <w:spacing w:before="200" w:after="6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18"/>
        </w:rPr>
        <w:t>THE SITUATION</w:t>
      </w:r>
    </w:p>
    <w:p>
      <w:pPr>
        <w:spacing w:before="0" w:after="100"/>
      </w:pPr>
      <w:r>
        <w:rPr>
          <w:rFonts w:ascii="Calibri" w:hAnsi="Calibri"/>
          <w:sz w:val="21"/>
        </w:rPr>
        <w:t>AASTMT runs several institutional systems — carbon reporting, faculty performance, facilities, research — each managed separately. Reporting across them takes weeks, data quality is inconsistent, and there is no single auditable record. This memo describes a platform that fixes this at the infrastructure level.</w:t>
      </w:r>
    </w:p>
    <w:p>
      <w:pPr>
        <w:spacing w:before="200" w:after="6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18"/>
        </w:rPr>
        <w:t>WHAT WE BUILT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The </w:t>
      </w:r>
      <w:r>
        <w:rPr>
          <w:rFonts w:ascii="Calibri" w:hAnsi="Calibri"/>
          <w:b/>
          <w:sz w:val="21"/>
        </w:rPr>
        <w:t>Carbon Data Trust Platform</w:t>
      </w:r>
      <w:r>
        <w:rPr>
          <w:rFonts w:ascii="Calibri" w:hAnsi="Calibri"/>
          <w:sz w:val="21"/>
        </w:rPr>
        <w:t xml:space="preserve"> is a shared governed data infrastructure. Every dataset that enters the system passes through four layers before it reaches any report or AI response: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b/>
          <w:sz w:val="21"/>
        </w:rPr>
        <w:t>Data Quality Rules</w:t>
      </w:r>
      <w:r>
        <w:rPr>
          <w:rFonts w:ascii="Calibri" w:hAnsi="Calibri"/>
          <w:sz w:val="21"/>
        </w:rPr>
        <w:t xml:space="preserve"> — each dataset carries automated rules: completeness checks, value-range validation, cross-field consistency. Rules fire on every data entry. Violations are scored by severity. A rule cannot be deleted if it has recorded results — every governance decision is durable.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b/>
          <w:sz w:val="21"/>
        </w:rPr>
        <w:t>Data Lineage</w:t>
      </w:r>
      <w:r>
        <w:rPr>
          <w:rFonts w:ascii="Calibri" w:hAnsi="Calibri"/>
          <w:sz w:val="21"/>
        </w:rPr>
        <w:t xml:space="preserve"> — every output is traceable end to end: source reading → emission factor → calculation rule → final figure. An auditor can open any number and follow it back to the raw meter reading.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b/>
          <w:sz w:val="21"/>
        </w:rPr>
        <w:t>Governed Catalog</w:t>
      </w:r>
      <w:r>
        <w:rPr>
          <w:rFonts w:ascii="Calibri" w:hAnsi="Calibri"/>
          <w:sz w:val="21"/>
        </w:rPr>
        <w:t xml:space="preserve"> — every table, field, and dataset is registered with owner, classification, domain tag, glossary term, and live quality score. Changes go through a steward approval workflow. Deletions are blocked by policy.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b/>
          <w:sz w:val="21"/>
        </w:rPr>
        <w:t>Role-Based Access</w:t>
      </w:r>
      <w:r>
        <w:rPr>
          <w:rFonts w:ascii="Calibri" w:hAnsi="Calibri"/>
          <w:sz w:val="21"/>
        </w:rPr>
        <w:t xml:space="preserve"> — each department steward manages only their data, scoped to their organisational unit. Management sees aggregated views. Access is governed, not informal.</w:t>
      </w:r>
    </w:p>
    <w:p>
      <w:pPr>
        <w:spacing w:before="0" w:after="100"/>
      </w:pPr>
      <w:r>
        <w:rPr>
          <w:rFonts w:ascii="Calibri" w:hAnsi="Calibri"/>
          <w:sz w:val="21"/>
        </w:rPr>
        <w:t>This platform layer is domain-agnostic. The Carbon Footprint app is the first domain running on it — live today: 2,958 t CO₂e across Smart Village Campus (2023–present), Scope 1, 2, and 3, fully traced and audited.</w:t>
      </w:r>
    </w:p>
    <w:p>
      <w:pPr>
        <w:spacing w:before="160" w:after="40"/>
      </w:pPr>
      <w:r>
        <w:rPr>
          <w:rFonts w:ascii="Calibri" w:hAnsi="Calibri"/>
          <w:b/>
          <w:color w:val="005CA8"/>
          <w:sz w:val="21"/>
        </w:rPr>
        <w:t>Pulse — AI Workspace</w:t>
      </w:r>
    </w:p>
    <w:p>
      <w:pPr>
        <w:spacing w:before="0" w:after="100"/>
      </w:pPr>
      <w:r>
        <w:rPr>
          <w:rFonts w:ascii="Calibri" w:hAnsi="Calibri"/>
          <w:sz w:val="21"/>
        </w:rPr>
        <w:t>Pulse is the AI layer built into the platform. Unlike a generic assistant, it works directly against your governed, quality-scored records — not a summary of them. It operates across all domain apps from one workspace.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b/>
          <w:sz w:val="21"/>
        </w:rPr>
        <w:t>Natural language queries</w:t>
      </w:r>
      <w:r>
        <w:rPr>
          <w:rFonts w:ascii="Calibri" w:hAnsi="Calibri"/>
          <w:sz w:val="21"/>
        </w:rPr>
        <w:t xml:space="preserve"> — ask in Arabic or English and get answers traced to source: "What drove electricity costs up this summer?" returns the specific building readings and the calculation rule that produced the figure.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b/>
          <w:sz w:val="21"/>
        </w:rPr>
        <w:t>DQ rule suggestions</w:t>
      </w:r>
      <w:r>
        <w:rPr>
          <w:rFonts w:ascii="Calibri" w:hAnsi="Calibri"/>
          <w:sz w:val="21"/>
        </w:rPr>
        <w:t xml:space="preserve"> — after profiling a dataset, Pulse suggests quality rules with rationale. A steward approves or rejects each one. Approved rules become permanent governance objects.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b/>
          <w:sz w:val="21"/>
        </w:rPr>
        <w:t>Report drafting</w:t>
      </w:r>
      <w:r>
        <w:rPr>
          <w:rFonts w:ascii="Calibri" w:hAnsi="Calibri"/>
          <w:sz w:val="21"/>
        </w:rPr>
        <w:t xml:space="preserve"> — compliance and sustainability reports grounded in live audited numbers, GHG Protocol-aligned, with calculation methodology embedded.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b/>
          <w:sz w:val="21"/>
        </w:rPr>
        <w:t>Anomaly detection</w:t>
      </w:r>
      <w:r>
        <w:rPr>
          <w:rFonts w:ascii="Calibri" w:hAnsi="Calibri"/>
          <w:sz w:val="21"/>
        </w:rPr>
        <w:t xml:space="preserve"> — flags unusual patterns in incoming data before they reach any report. Surfaced as reviewable items, not silent failures.</w:t>
      </w:r>
    </w:p>
    <w:p>
      <w:pPr>
        <w:pStyle w:val="ListBullet"/>
        <w:spacing w:before="0" w:after="60"/>
        <w:ind w:left="340"/>
      </w:pPr>
      <w:r>
        <w:rPr>
          <w:rFonts w:ascii="Calibri" w:hAnsi="Calibri"/>
          <w:b/>
          <w:sz w:val="21"/>
        </w:rPr>
        <w:t>Cross-domain</w:t>
      </w:r>
      <w:r>
        <w:rPr>
          <w:rFonts w:ascii="Calibri" w:hAnsi="Calibri"/>
          <w:sz w:val="21"/>
        </w:rPr>
        <w:t xml:space="preserve"> — the same Pulse workspace handles carbon queries, academic KPI analysis, and any future domain app. One AI coworker, one governed context.</w:t>
      </w:r>
    </w:p>
    <w:p>
      <w:pPr>
        <w:spacing w:before="200" w:after="6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18"/>
        </w:rPr>
        <w:t>DOMAIN APPLICATIONS — CURRENT AND PLANNED</w:t>
      </w:r>
    </w:p>
    <w:p>
      <w:pPr>
        <w:spacing w:before="0" w:after="100"/>
      </w:pPr>
      <w:r>
        <w:rPr>
          <w:rFonts w:ascii="Calibri" w:hAnsi="Calibri"/>
          <w:sz w:val="21"/>
        </w:rPr>
        <w:t>Each app runs on the shared platform. Adding a new one does not require rebuilding the infrastructure — only building the domain logic on top of it.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Application</w:t>
            </w:r>
          </w:p>
        </w:tc>
        <w:tc>
          <w:tcPr>
            <w:tcW w:type="dxa" w:w="1701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19"/>
            <w:shd w:val="clear" w:color="auto" w:fill="005CA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Carbon Footprint Tracking</w:t>
            </w:r>
          </w:p>
        </w:tc>
        <w:tc>
          <w:tcPr>
            <w:tcW w:type="dxa" w:w="1701"/>
            <w:shd w:val="clear" w:color="auto" w:fill="DCFC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5803D"/>
                <w:sz w:val="19"/>
              </w:rPr>
              <w:t>Live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GHG Protocol-aligned emissions across all scopes and campuses</w:t>
            </w:r>
          </w:p>
        </w:tc>
      </w:tr>
      <w:tr>
        <w:tc>
          <w:tcPr>
            <w:tcW w:type="dxa" w:w="3118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Performarc — Academic KPIs</w:t>
            </w:r>
          </w:p>
        </w:tc>
        <w:tc>
          <w:tcPr>
            <w:tcW w:type="dxa" w:w="1701"/>
            <w:shd w:val="clear" w:color="auto" w:fill="F8FBFF"/>
            <w:shd w:val="clear" w:color="auto" w:fill="FEF9C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854D0E"/>
                <w:sz w:val="19"/>
              </w:rPr>
              <w:t>In migration</w:t>
            </w:r>
          </w:p>
        </w:tc>
        <w:tc>
          <w:tcPr>
            <w:tcW w:type="dxa" w:w="4819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Staff and faculty workload, departmental KPIs, publications, grants, evaluation cycles — all branches and colleges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Sustainability Goals Tracker</w:t>
            </w:r>
          </w:p>
        </w:tc>
        <w:tc>
          <w:tcPr>
            <w:tcW w:type="dxa" w:w="1701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>Proposed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Track AASTMT commitments against SDGs and Egypt Vision 2030: targets, progress, gaps per campus</w:t>
            </w:r>
          </w:p>
        </w:tc>
      </w:tr>
      <w:tr>
        <w:tc>
          <w:tcPr>
            <w:tcW w:type="dxa" w:w="3118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Facilities Management &amp; Lifecycle</w:t>
            </w:r>
          </w:p>
        </w:tc>
        <w:tc>
          <w:tcPr>
            <w:tcW w:type="dxa" w:w="1701"/>
            <w:shd w:val="clear" w:color="auto" w:fill="F8FBFF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>Proposed</w:t>
            </w:r>
          </w:p>
        </w:tc>
        <w:tc>
          <w:tcPr>
            <w:tcW w:type="dxa" w:w="4819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Campus assets, maintenance schedules, equipment lifecycle, energy per building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Research Projects &amp; Publications</w:t>
            </w:r>
          </w:p>
        </w:tc>
        <w:tc>
          <w:tcPr>
            <w:tcW w:type="dxa" w:w="1701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>Proposed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Grant lifecycle, publication tracking, AI coworker for drafting and deadline management</w:t>
            </w:r>
          </w:p>
        </w:tc>
      </w:tr>
    </w:tbl>
    <w:p/>
    <w:p>
      <w:pPr>
        <w:spacing w:before="200" w:after="60"/>
        <w:pBdr>
          <w:bottom w:val="single" w:sz="4" w:space="1" w:color="005CA8"/>
        </w:pBdr>
      </w:pPr>
      <w:r>
        <w:rPr>
          <w:rFonts w:ascii="Calibri" w:hAnsi="Calibri"/>
          <w:b/>
          <w:color w:val="005CA8"/>
          <w:sz w:val="18"/>
        </w:rPr>
        <w:t>WHAT I NEED FROM YOU</w:t>
      </w:r>
    </w:p>
    <w:p>
      <w:pPr>
        <w:spacing w:before="0" w:after="100"/>
      </w:pPr>
      <w:r>
        <w:rPr>
          <w:rFonts w:ascii="Calibri" w:hAnsi="Calibri"/>
          <w:sz w:val="21"/>
        </w:rPr>
        <w:t>These three items are the only blockers. The technical work moves immediately once they are cleared.</w:t>
      </w:r>
    </w:p>
    <w:p>
      <w:pPr>
        <w:spacing w:before="0" w:after="80"/>
        <w:ind w:left="340" w:hanging="340"/>
      </w:pPr>
      <w:r>
        <w:rPr>
          <w:rFonts w:ascii="Calibri" w:hAnsi="Calibri"/>
          <w:b/>
          <w:color w:val="005CA8"/>
          <w:sz w:val="21"/>
        </w:rPr>
        <w:t xml:space="preserve">1.  </w:t>
      </w:r>
      <w:r>
        <w:rPr>
          <w:rFonts w:ascii="Calibri" w:hAnsi="Calibri"/>
          <w:b/>
          <w:sz w:val="21"/>
        </w:rPr>
        <w:t>Formal mandate:</w:t>
      </w:r>
      <w:r>
        <w:rPr>
          <w:rFonts w:ascii="Calibri" w:hAnsi="Calibri"/>
          <w:sz w:val="21"/>
        </w:rPr>
        <w:t xml:space="preserve"> A directive from your office that this platform is the authorised data layer for these domains. Without it, each department continues working around it.</w:t>
      </w:r>
    </w:p>
    <w:p>
      <w:pPr>
        <w:spacing w:before="0" w:after="80"/>
        <w:ind w:left="340" w:hanging="340"/>
      </w:pPr>
      <w:r>
        <w:rPr>
          <w:rFonts w:ascii="Calibri" w:hAnsi="Calibri"/>
          <w:b/>
          <w:color w:val="005CA8"/>
          <w:sz w:val="21"/>
        </w:rPr>
        <w:t xml:space="preserve">2.  </w:t>
      </w:r>
      <w:r>
        <w:rPr>
          <w:rFonts w:ascii="Calibri" w:hAnsi="Calibri"/>
          <w:b/>
          <w:sz w:val="21"/>
        </w:rPr>
        <w:t>Integration access:</w:t>
      </w:r>
      <w:r>
        <w:rPr>
          <w:rFonts w:ascii="Calibri" w:hAnsi="Calibri"/>
          <w:sz w:val="21"/>
        </w:rPr>
        <w:t xml:space="preserve"> Authorisation to connect the platform to the ERP and building management systems. This step is waiting on IT committee sign-off.</w:t>
      </w:r>
    </w:p>
    <w:p>
      <w:pPr>
        <w:spacing w:before="0" w:after="80"/>
        <w:ind w:left="340" w:hanging="340"/>
      </w:pPr>
      <w:r>
        <w:rPr>
          <w:rFonts w:ascii="Calibri" w:hAnsi="Calibri"/>
          <w:b/>
          <w:color w:val="005CA8"/>
          <w:sz w:val="21"/>
        </w:rPr>
        <w:t xml:space="preserve">3.  </w:t>
      </w:r>
      <w:r>
        <w:rPr>
          <w:rFonts w:ascii="Calibri" w:hAnsi="Calibri"/>
          <w:b/>
          <w:sz w:val="21"/>
        </w:rPr>
        <w:t>Scope approval:</w:t>
      </w:r>
      <w:r>
        <w:rPr>
          <w:rFonts w:ascii="Calibri" w:hAnsi="Calibri"/>
          <w:sz w:val="21"/>
        </w:rPr>
        <w:t xml:space="preserve"> Proceed with the Performarc migration and begin scoping the Sustainability Goals Tracker and Facilities app.</w:t>
      </w:r>
    </w:p>
    <w:p/>
    <w:p>
      <w:pPr>
        <w:spacing w:before="160" w:after="0"/>
        <w:jc w:val="center"/>
      </w:pPr>
      <w:r>
        <w:rPr>
          <w:rFonts w:ascii="Calibri" w:hAnsi="Calibri"/>
          <w:i/>
          <w:color w:val="555555"/>
          <w:sz w:val="16"/>
        </w:rPr>
        <w:t>Confidential — for internal circulation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