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Tomasulo Simulator</w:t>
        <w:br/>
        <w:t>Assignment Report</w:t>
      </w:r>
    </w:p>
    <w:p>
      <w:pPr>
        <w:pStyle w:val="Subtitle"/>
      </w:pPr>
      <w:r>
        <w:t>Ahmed Ahmed</w:t>
      </w:r>
    </w:p>
    <w:p>
      <w:r>
        <w:t>Computer Architecture</w:t>
        <w:br/>
        <w:t>October 25 2026</w:t>
      </w:r>
    </w:p>
    <w:p>
      <w:r>
        <w:t xml:space="preserve">GitHub repository: </w:t>
      </w:r>
      <w:hyperlink r:id="rId11">
        <w:r>
          <w:rPr>
            <w:color w:val="0563C1"/>
            <w:u w:val="single"/>
          </w:rPr>
          <w:t>https://github.com/ahmedshehata08-iss/tomasulo-simulator</w:t>
        </w:r>
      </w:hyperlink>
    </w:p>
    <w:p>
      <w:pPr>
        <w:pStyle w:val="Heading1"/>
      </w:pPr>
      <w:r>
        <w:t>1 Assignment implementation</w:t>
      </w:r>
    </w:p>
    <w:p>
      <w:r>
        <w:t>In this assignment, I extended a Python implementation of Tomasulo's algorithm to support issuing one to four instructions per cycle. My goal was to model how a processor executes instructions out of order while preserving correct program results, and to study how issue width affects performance when dependencies and hardware resources limit execution.</w:t>
      </w:r>
    </w:p>
    <w:p>
      <w:r>
        <w:t>I updated instruction issue, register renaming, and in-order commit to handle multiple instructions safely. I also corrected execution timing, added branch prediction and recovery, and improved load and store handling with forwarding and replay after memory conflicts. I introduced a combined input format for hardware settings, initial register and memory values, and assembly instructions, making each experiment easier to reproduce.</w:t>
      </w:r>
    </w:p>
    <w:p>
      <w:r>
        <w:t>I ran experiments at each issue width using consistent hardware settings, then compared instruction timings and total execution cycles. I used these results to identify when wider issue improves performance and when dependencies or shared resources limit it.</w:t>
      </w:r>
    </w:p>
    <w:p>
      <w:r>
        <w:t>I validated the changes with 67 automated test methods, including 80 seeded equivalence runs, and 400 additional mixed-instruction stress runs. I checked all 36 terminating benchmark runs against an independent sequential interpreter. In this report, I present before-and-after code snapshots, complete timing tables, and branch and memory recovery examples to explain the changes and their results.</w:t>
      </w:r>
    </w:p>
    <w:p>
      <w:pPr>
        <w:pStyle w:val="Heading2"/>
      </w:pPr>
      <w:r>
        <w:t>Report organization</w:t>
      </w:r>
    </w:p>
    <w:tbl>
      <w:tblPr>
        <w:tblW w:type="auto" w:w="0"/>
        <w:jc w:val="center"/>
        <w:tblLayout w:type="fixed"/>
        <w:tblLook w:firstColumn="1" w:firstRow="1" w:lastColumn="0" w:lastRow="0" w:noHBand="0" w:noVBand="1" w:val="04A0"/>
      </w:tblPr>
      <w:tblGrid>
        <w:gridCol w:w="1512"/>
        <w:gridCol w:w="8640"/>
      </w:tblGrid>
      <w:tr>
        <w:trPr>
          <w:cantSplit/>
          <w:tblHeader/>
        </w:trPr>
        <w:tc>
          <w:tcPr>
            <w:tcW w:type="dxa" w:w="1512"/>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Section</w:t>
            </w:r>
          </w:p>
        </w:tc>
        <w:tc>
          <w:tcPr>
            <w:tcW w:type="dxa" w:w="86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Evidence</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2</w:t>
            </w:r>
          </w:p>
        </w:tc>
        <w:tc>
          <w:tcPr>
            <w:tcW w:type="dxa" w:w="86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Machine structure, cycle rules, and assignment requirements</w:t>
            </w:r>
          </w:p>
        </w:tc>
      </w:tr>
      <w:tr>
        <w:trPr>
          <w:cantSplit/>
        </w:trPr>
        <w:tc>
          <w:tcPr>
            <w:tcW w:type="dxa" w:w="151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20"/>
              </w:rPr>
              <w:t>3 to 9</w:t>
            </w:r>
          </w:p>
        </w:tc>
        <w:tc>
          <w:tcPr>
            <w:tcW w:type="dxa" w:w="86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Changes to issue, renaming, execution, branches, memory, and input</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10 to 12</w:t>
            </w:r>
          </w:p>
        </w:tc>
        <w:tc>
          <w:tcPr>
            <w:tcW w:type="dxa" w:w="86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Test inputs, hardware configurations, and width comparison</w:t>
            </w:r>
          </w:p>
        </w:tc>
      </w:tr>
      <w:tr>
        <w:trPr>
          <w:cantSplit/>
        </w:trPr>
        <w:tc>
          <w:tcPr>
            <w:tcW w:type="dxa" w:w="151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20"/>
              </w:rPr>
              <w:t>13</w:t>
            </w:r>
          </w:p>
        </w:tc>
        <w:tc>
          <w:tcPr>
            <w:tcW w:type="dxa" w:w="86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Eight complete sample-program timing tables</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14 to 16</w:t>
            </w:r>
          </w:p>
        </w:tc>
        <w:tc>
          <w:tcPr>
            <w:tcW w:type="dxa" w:w="86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Branch and memory recovery, validation, and reproduction</w:t>
            </w:r>
          </w:p>
        </w:tc>
      </w:tr>
    </w:tbl>
    <w:p/>
    <w:p>
      <w:pPr>
        <w:pStyle w:val="Heading1"/>
        <w:pageBreakBefore/>
      </w:pPr>
      <w:r>
        <w:t>2 Machine structure and timing</w:t>
      </w:r>
    </w:p>
    <w:p>
      <w:r>
        <w:t>A Simulator object owns the instruction buffer, architectural register files, RAT, reservation stations, ROB, load/store queue, functional-unit activity, and branch predictor. Each dynamic instruction receives a unique increasing identifier; loop iterations and replayed instructions therefore have distinct tags.</w:t>
      </w:r>
    </w:p>
    <w:tbl>
      <w:tblPr>
        <w:tblW w:type="auto" w:w="0"/>
        <w:jc w:val="center"/>
        <w:tblLayout w:type="fixed"/>
        <w:tblLook w:firstColumn="1" w:firstRow="1" w:lastColumn="0" w:lastRow="0" w:noHBand="0" w:noVBand="1" w:val="04A0"/>
      </w:tblPr>
      <w:tblGrid>
        <w:gridCol w:w="1152"/>
        <w:gridCol w:w="9000"/>
      </w:tblGrid>
      <w:tr>
        <w:trPr>
          <w:cantSplit/>
          <w:tblHeader/>
        </w:trPr>
        <w:tc>
          <w:tcPr>
            <w:tcW w:type="dxa" w:w="1152"/>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Stage</w:t>
            </w:r>
          </w:p>
        </w:tc>
        <w:tc>
          <w:tcPr>
            <w:tcW w:type="dxa" w:w="900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Implemented rule</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ISSUE</w:t>
            </w:r>
          </w:p>
        </w:tc>
        <w:tc>
          <w:tcPr>
            <w:tcW w:type="dxa" w:w="900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Fetch and decode a program-order prefix of up to W instructions. Stop at the first unavailable ROB, RS, or LSQ resource. Predict branches here.</w:t>
            </w:r>
          </w:p>
        </w:tc>
      </w:tr>
      <w:tr>
        <w:trPr>
          <w:cantSplit/>
        </w:trPr>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20"/>
              </w:rPr>
              <w:t>EX</w:t>
            </w:r>
          </w:p>
        </w:tc>
        <w:tc>
          <w:tcPr>
            <w:tcW w:type="dxa" w:w="900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Select oldest ready operations. Integer units and dedicated address adders are unpipelined; FP adders and multipliers accept one new operation per unit per cycle.</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MEM</w:t>
            </w:r>
          </w:p>
        </w:tc>
        <w:tc>
          <w:tcPr>
            <w:tcW w:type="dxa" w:w="900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One nonpipelined port. Forward an exact matching older store in one cycle or access memory. Track loads that pass unresolved older stores.</w:t>
            </w:r>
          </w:p>
        </w:tc>
      </w:tr>
      <w:tr>
        <w:trPr>
          <w:cantSplit/>
        </w:trPr>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20"/>
              </w:rPr>
              <w:t>WB</w:t>
            </w:r>
          </w:p>
        </w:tc>
        <w:tc>
          <w:tcPr>
            <w:tcW w:type="dxa" w:w="900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One CDB broadcasts one completed register result per cycle. Dependents use the result from the following cycle.</w:t>
            </w:r>
          </w:p>
        </w:tc>
      </w:tr>
      <w:tr>
        <w:trPr>
          <w:cantSplit/>
        </w:trPr>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COMMIT</w:t>
            </w:r>
          </w:p>
        </w:tc>
        <w:tc>
          <w:tcPr>
            <w:tcW w:type="dxa" w:w="900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Retire the ready ROB head. Update architectural registers or memory. Branches and stores do not consume the CDB.</w:t>
            </w:r>
          </w:p>
        </w:tc>
      </w:tr>
    </w:tbl>
    <w:p/>
    <w:p>
      <w:r>
        <w:t>An L-cycle operation has end = start + L - 1. An operation may enter its next stage only after its preceding stage ends. The implementation visits COMMIT, WB, MEM, EX, then ISSUE each cycle and applies explicit readiness dates. A unit completing in the current cycle remains occupied for that cycle. CDB arbitration uses completion cycle, then dynamic instruction age.</w:t>
      </w:r>
    </w:p>
    <w:p>
      <w:pPr>
        <w:pStyle w:val="Heading2"/>
      </w:pPr>
      <w:r>
        <w:t>Requirements and design choices</w:t>
      </w:r>
    </w:p>
    <w:tbl>
      <w:tblPr>
        <w:tblW w:type="auto" w:w="0"/>
        <w:jc w:val="center"/>
        <w:tblLayout w:type="fixed"/>
        <w:tblLook w:firstColumn="1" w:firstRow="1" w:lastColumn="0" w:lastRow="0" w:noHBand="0" w:noVBand="1" w:val="04A0"/>
      </w:tblPr>
      <w:tblGrid>
        <w:gridCol w:w="3888"/>
        <w:gridCol w:w="6264"/>
      </w:tblGrid>
      <w:tr>
        <w:trPr>
          <w:cantSplit/>
          <w:tblHeader/>
        </w:trPr>
        <w:tc>
          <w:tcPr>
            <w:tcW w:type="dxa" w:w="388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9"/>
              </w:rPr>
              <w:t>Handout requirement</w:t>
            </w:r>
          </w:p>
        </w:tc>
        <w:tc>
          <w:tcPr>
            <w:tcW w:type="dxa" w:w="626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9"/>
              </w:rPr>
              <w:t>Implementation evidence</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9"/>
              </w:rPr>
              <w:t>32 integer and 32 FP registers; R0 fixed</w:t>
            </w:r>
          </w:p>
        </w:tc>
        <w:tc>
          <w:tcPr>
            <w:tcW w:type="dxa" w:w="626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Both register files initialize to zero; renaming never changes R0.</w:t>
            </w:r>
          </w:p>
        </w:tc>
      </w:tr>
      <w:tr>
        <w:trPr>
          <w:cantSplit/>
        </w:trPr>
        <w:tc>
          <w:tcPr>
            <w:tcW w:type="dxa" w:w="388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9"/>
              </w:rPr>
              <w:t>256 bytes and single-precision transfers</w:t>
            </w:r>
          </w:p>
        </w:tc>
        <w:tc>
          <w:tcPr>
            <w:tcW w:type="dxa" w:w="626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A 256-byte array stores four-byte binary32 values; legal starts are byte addresses 0 through 252.</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9"/>
              </w:rPr>
              <w:t>Word branch displacement</w:t>
            </w:r>
          </w:p>
        </w:tc>
        <w:tc>
          <w:tcPr>
            <w:tcW w:type="dxa" w:w="626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Target instruction index = PC index + 1 + offset.</w:t>
            </w:r>
          </w:p>
        </w:tc>
      </w:tr>
      <w:tr>
        <w:trPr>
          <w:cantSplit/>
        </w:trPr>
        <w:tc>
          <w:tcPr>
            <w:tcW w:type="dxa" w:w="388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9"/>
              </w:rPr>
              <w:t>One-bit predictor and 8-entry BTB</w:t>
            </w:r>
          </w:p>
        </w:tc>
        <w:tc>
          <w:tcPr>
            <w:tcW w:type="dxa" w:w="626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One direction bit per static branch, tagged BTB indexed by PC index &amp; 7.</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9"/>
              </w:rPr>
              <w:t>Recovery after EX cycle n</w:t>
            </w:r>
          </w:p>
        </w:tc>
        <w:tc>
          <w:tcPr>
            <w:tcW w:type="dxa" w:w="626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Squash younger work, rebuild the RAT, and resume fetch at n + 2.</w:t>
            </w:r>
          </w:p>
        </w:tc>
      </w:tr>
    </w:tbl>
    <w:p/>
    <w:p>
      <w:pPr>
        <w:pStyle w:val="Heading1"/>
        <w:pageBreakBefore/>
      </w:pPr>
      <w:r>
        <w:t>3 Code changes for multiple issue</w:t>
      </w:r>
    </w:p>
    <w:p>
      <w:r>
        <w:t>The starter handles one instruction per call to issue. I replaced that dispatch path with a width-bounded loop that allocates a contiguous program-order prefix. When the oldest candidate cannot reserve a resource, the bundle stops; a younger instruction cannot bypass it during issue.</w:t>
      </w:r>
    </w:p>
    <w:p>
      <w:r>
        <w:drawing>
          <wp:inline xmlns:a="http://schemas.openxmlformats.org/drawingml/2006/main" xmlns:pic="http://schemas.openxmlformats.org/drawingml/2006/picture">
            <wp:extent cx="6446520" cy="2800538"/>
            <wp:docPr id="1" name="Picture 1"/>
            <wp:cNvGraphicFramePr>
              <a:graphicFrameLocks noChangeAspect="1"/>
            </wp:cNvGraphicFramePr>
            <a:graphic>
              <a:graphicData uri="http://schemas.openxmlformats.org/drawingml/2006/picture">
                <pic:pic>
                  <pic:nvPicPr>
                    <pic:cNvPr id="0" name="issue_before.png"/>
                    <pic:cNvPicPr/>
                  </pic:nvPicPr>
                  <pic:blipFill>
                    <a:blip r:embed="rId12"/>
                    <a:stretch>
                      <a:fillRect/>
                    </a:stretch>
                  </pic:blipFill>
                  <pic:spPr>
                    <a:xfrm>
                      <a:off x="0" y="0"/>
                      <a:ext cx="6446520" cy="2800538"/>
                    </a:xfrm>
                    <a:prstGeom prst="rect"/>
                  </pic:spPr>
                </pic:pic>
              </a:graphicData>
            </a:graphic>
          </wp:inline>
        </w:drawing>
      </w:r>
    </w:p>
    <w:p>
      <w:pPr>
        <w:pStyle w:val="Caption"/>
      </w:pPr>
      <w:r>
        <w:t>Before  starter issue.py. Source lines 178-192.</w:t>
      </w:r>
    </w:p>
    <w:p>
      <w:r>
        <w:drawing>
          <wp:inline xmlns:a="http://schemas.openxmlformats.org/drawingml/2006/main" xmlns:pic="http://schemas.openxmlformats.org/drawingml/2006/picture">
            <wp:extent cx="6446520" cy="3139703"/>
            <wp:docPr id="2" name="Picture 2"/>
            <wp:cNvGraphicFramePr>
              <a:graphicFrameLocks noChangeAspect="1"/>
            </wp:cNvGraphicFramePr>
            <a:graphic>
              <a:graphicData uri="http://schemas.openxmlformats.org/drawingml/2006/picture">
                <pic:pic>
                  <pic:nvPicPr>
                    <pic:cNvPr id="0" name="issue_after.png"/>
                    <pic:cNvPicPr/>
                  </pic:nvPicPr>
                  <pic:blipFill>
                    <a:blip r:embed="rId13"/>
                    <a:stretch>
                      <a:fillRect/>
                    </a:stretch>
                  </pic:blipFill>
                  <pic:spPr>
                    <a:xfrm>
                      <a:off x="0" y="0"/>
                      <a:ext cx="6446520" cy="3139703"/>
                    </a:xfrm>
                    <a:prstGeom prst="rect"/>
                  </pic:spPr>
                </pic:pic>
              </a:graphicData>
            </a:graphic>
          </wp:inline>
        </w:drawing>
      </w:r>
    </w:p>
    <w:p>
      <w:pPr>
        <w:pStyle w:val="Caption"/>
      </w:pPr>
      <w:r>
        <w:t>After  issue.py. Source lines 7-24.</w:t>
      </w:r>
    </w:p>
    <w:p>
      <w:r>
        <w:t>Source operands are captured before the destination tag is installed. A later instruction in the same bundle observes the new producer tag, while a self-dependent Addi reads its preceding value. Branch prediction selects the next instruction within the same bundle when capacity remains. Issue width defaults to one and accepts only values from one to four.</w:t>
      </w:r>
    </w:p>
    <w:p>
      <w:pPr>
        <w:pStyle w:val="Heading1"/>
        <w:pageBreakBefore/>
      </w:pPr>
      <w:r>
        <w:t>4 Code changes for renaming and commit</w:t>
      </w:r>
    </w:p>
    <w:p>
      <w:r>
        <w:t>I separated architectural register values from producer tags. Every result wakes only operands waiting for its dynamic identifier. The RAT continues to name the youngest writer, preventing a late older result from replacing a younger dependency.</w:t>
      </w:r>
    </w:p>
    <w:p>
      <w:r>
        <w:drawing>
          <wp:inline xmlns:a="http://schemas.openxmlformats.org/drawingml/2006/main" xmlns:pic="http://schemas.openxmlformats.org/drawingml/2006/picture">
            <wp:extent cx="5760720" cy="1652666"/>
            <wp:docPr id="3" name="Picture 3"/>
            <wp:cNvGraphicFramePr>
              <a:graphicFrameLocks noChangeAspect="1"/>
            </wp:cNvGraphicFramePr>
            <a:graphic>
              <a:graphicData uri="http://schemas.openxmlformats.org/drawingml/2006/picture">
                <pic:pic>
                  <pic:nvPicPr>
                    <pic:cNvPr id="0" name="wb_before.png"/>
                    <pic:cNvPicPr/>
                  </pic:nvPicPr>
                  <pic:blipFill>
                    <a:blip r:embed="rId14"/>
                    <a:stretch>
                      <a:fillRect/>
                    </a:stretch>
                  </pic:blipFill>
                  <pic:spPr>
                    <a:xfrm>
                      <a:off x="0" y="0"/>
                      <a:ext cx="5760720" cy="1652666"/>
                    </a:xfrm>
                    <a:prstGeom prst="rect"/>
                  </pic:spPr>
                </pic:pic>
              </a:graphicData>
            </a:graphic>
          </wp:inline>
        </w:drawing>
      </w:r>
    </w:p>
    <w:p>
      <w:pPr>
        <w:pStyle w:val="Caption"/>
      </w:pPr>
      <w:r>
        <w:t>Before  starter wb.py. Source lines 23-31.</w:t>
      </w:r>
    </w:p>
    <w:p>
      <w:r>
        <w:drawing>
          <wp:inline xmlns:a="http://schemas.openxmlformats.org/drawingml/2006/main" xmlns:pic="http://schemas.openxmlformats.org/drawingml/2006/picture">
            <wp:extent cx="5760720" cy="2620636"/>
            <wp:docPr id="4" name="Picture 4"/>
            <wp:cNvGraphicFramePr>
              <a:graphicFrameLocks noChangeAspect="1"/>
            </wp:cNvGraphicFramePr>
            <a:graphic>
              <a:graphicData uri="http://schemas.openxmlformats.org/drawingml/2006/picture">
                <pic:pic>
                  <pic:nvPicPr>
                    <pic:cNvPr id="0" name="wb_after.png"/>
                    <pic:cNvPicPr/>
                  </pic:nvPicPr>
                  <pic:blipFill>
                    <a:blip r:embed="rId15"/>
                    <a:stretch>
                      <a:fillRect/>
                    </a:stretch>
                  </pic:blipFill>
                  <pic:spPr>
                    <a:xfrm>
                      <a:off x="0" y="0"/>
                      <a:ext cx="5760720" cy="2620636"/>
                    </a:xfrm>
                    <a:prstGeom prst="rect"/>
                  </pic:spPr>
                </pic:pic>
              </a:graphicData>
            </a:graphic>
          </wp:inline>
        </w:drawing>
      </w:r>
    </w:p>
    <w:p>
      <w:pPr>
        <w:pStyle w:val="Caption"/>
      </w:pPr>
      <w:r>
        <w:t>After  wb.py. Source lines 6-21.</w:t>
      </w:r>
    </w:p>
    <w:p>
      <w:r>
        <w:drawing>
          <wp:inline xmlns:a="http://schemas.openxmlformats.org/drawingml/2006/main" xmlns:pic="http://schemas.openxmlformats.org/drawingml/2006/picture">
            <wp:extent cx="5760720" cy="1486912"/>
            <wp:docPr id="5" name="Picture 5"/>
            <wp:cNvGraphicFramePr>
              <a:graphicFrameLocks noChangeAspect="1"/>
            </wp:cNvGraphicFramePr>
            <a:graphic>
              <a:graphicData uri="http://schemas.openxmlformats.org/drawingml/2006/picture">
                <pic:pic>
                  <pic:nvPicPr>
                    <pic:cNvPr id="0" name="commit_after.png"/>
                    <pic:cNvPicPr/>
                  </pic:nvPicPr>
                  <pic:blipFill>
                    <a:blip r:embed="rId16"/>
                    <a:stretch>
                      <a:fillRect/>
                    </a:stretch>
                  </pic:blipFill>
                  <pic:spPr>
                    <a:xfrm>
                      <a:off x="0" y="0"/>
                      <a:ext cx="5760720" cy="1486912"/>
                    </a:xfrm>
                    <a:prstGeom prst="rect"/>
                  </pic:spPr>
                </pic:pic>
              </a:graphicData>
            </a:graphic>
          </wp:inline>
        </w:drawing>
      </w:r>
    </w:p>
    <w:p>
      <w:pPr>
        <w:pStyle w:val="Caption"/>
      </w:pPr>
      <w:r>
        <w:t>After  commit.py  architectural update. Source lines 19-27.</w:t>
      </w:r>
    </w:p>
    <w:p>
      <w:r>
        <w:t>Only the ROB head can retire. A register commit clears its RAT entry only if that entry still belongs to the retiring instruction. Stores update memory at commit and remain in the LSQ until then. A squashed instruction never commits. Tests cover RAW, WAR, WAW, self-renaming, late readers, and recovery of an older surviving producer.</w:t>
      </w:r>
    </w:p>
    <w:p>
      <w:pPr>
        <w:pStyle w:val="Heading1"/>
        <w:pageBreakBefore/>
      </w:pPr>
      <w:r>
        <w:t>5 Code changes for execution timing</w:t>
      </w:r>
    </w:p>
    <w:p>
      <w:r>
        <w:t>The starter can advance active FU counters twice when another operation is dispatched. I replaced incremental counters with fixed completion dates and separate resource rules for integer, floating-point, and address execution.</w:t>
      </w:r>
    </w:p>
    <w:p>
      <w:r>
        <w:drawing>
          <wp:inline xmlns:a="http://schemas.openxmlformats.org/drawingml/2006/main" xmlns:pic="http://schemas.openxmlformats.org/drawingml/2006/picture">
            <wp:extent cx="5669280" cy="929390"/>
            <wp:docPr id="6" name="Picture 6"/>
            <wp:cNvGraphicFramePr>
              <a:graphicFrameLocks noChangeAspect="1"/>
            </wp:cNvGraphicFramePr>
            <a:graphic>
              <a:graphicData uri="http://schemas.openxmlformats.org/drawingml/2006/picture">
                <pic:pic>
                  <pic:nvPicPr>
                    <pic:cNvPr id="0" name="exe_before1.png"/>
                    <pic:cNvPicPr/>
                  </pic:nvPicPr>
                  <pic:blipFill>
                    <a:blip r:embed="rId17"/>
                    <a:stretch>
                      <a:fillRect/>
                    </a:stretch>
                  </pic:blipFill>
                  <pic:spPr>
                    <a:xfrm>
                      <a:off x="0" y="0"/>
                      <a:ext cx="5669280" cy="929390"/>
                    </a:xfrm>
                    <a:prstGeom prst="rect"/>
                  </pic:spPr>
                </pic:pic>
              </a:graphicData>
            </a:graphic>
          </wp:inline>
        </w:drawing>
      </w:r>
    </w:p>
    <w:p>
      <w:pPr>
        <w:pStyle w:val="Caption"/>
      </w:pPr>
      <w:r>
        <w:t>Before  first counter advancement. Source lines 120-123.</w:t>
      </w:r>
    </w:p>
    <w:p>
      <w:r>
        <w:drawing>
          <wp:inline xmlns:a="http://schemas.openxmlformats.org/drawingml/2006/main" xmlns:pic="http://schemas.openxmlformats.org/drawingml/2006/picture">
            <wp:extent cx="5669280" cy="1457164"/>
            <wp:docPr id="7" name="Picture 7"/>
            <wp:cNvGraphicFramePr>
              <a:graphicFrameLocks noChangeAspect="1"/>
            </wp:cNvGraphicFramePr>
            <a:graphic>
              <a:graphicData uri="http://schemas.openxmlformats.org/drawingml/2006/picture">
                <pic:pic>
                  <pic:nvPicPr>
                    <pic:cNvPr id="0" name="exe_before2.png"/>
                    <pic:cNvPicPr/>
                  </pic:nvPicPr>
                  <pic:blipFill>
                    <a:blip r:embed="rId18"/>
                    <a:stretch>
                      <a:fillRect/>
                    </a:stretch>
                  </pic:blipFill>
                  <pic:spPr>
                    <a:xfrm>
                      <a:off x="0" y="0"/>
                      <a:ext cx="5669280" cy="1457164"/>
                    </a:xfrm>
                    <a:prstGeom prst="rect"/>
                  </pic:spPr>
                </pic:pic>
              </a:graphicData>
            </a:graphic>
          </wp:inline>
        </w:drawing>
      </w:r>
    </w:p>
    <w:p>
      <w:pPr>
        <w:pStyle w:val="Caption"/>
      </w:pPr>
      <w:r>
        <w:t>Before  repeated counter advancement. Source lines 149-156.</w:t>
      </w:r>
    </w:p>
    <w:p>
      <w:r>
        <w:drawing>
          <wp:inline xmlns:a="http://schemas.openxmlformats.org/drawingml/2006/main" xmlns:pic="http://schemas.openxmlformats.org/drawingml/2006/picture">
            <wp:extent cx="6126480" cy="1908248"/>
            <wp:docPr id="8" name="Picture 8"/>
            <wp:cNvGraphicFramePr>
              <a:graphicFrameLocks noChangeAspect="1"/>
            </wp:cNvGraphicFramePr>
            <a:graphic>
              <a:graphicData uri="http://schemas.openxmlformats.org/drawingml/2006/picture">
                <pic:pic>
                  <pic:nvPicPr>
                    <pic:cNvPr id="0" name="exe_after.png"/>
                    <pic:cNvPicPr/>
                  </pic:nvPicPr>
                  <pic:blipFill>
                    <a:blip r:embed="rId19"/>
                    <a:stretch>
                      <a:fillRect/>
                    </a:stretch>
                  </pic:blipFill>
                  <pic:spPr>
                    <a:xfrm>
                      <a:off x="0" y="0"/>
                      <a:ext cx="6126480" cy="1908248"/>
                    </a:xfrm>
                    <a:prstGeom prst="rect"/>
                  </pic:spPr>
                </pic:pic>
              </a:graphicData>
            </a:graphic>
          </wp:inline>
        </w:drawing>
      </w:r>
    </w:p>
    <w:p>
      <w:pPr>
        <w:pStyle w:val="Caption"/>
      </w:pPr>
      <w:r>
        <w:t>After  fixed start and completion dates. Source lines 6-15.</w:t>
      </w:r>
    </w:p>
    <w:p>
      <w:r>
        <w:drawing>
          <wp:inline xmlns:a="http://schemas.openxmlformats.org/drawingml/2006/main" xmlns:pic="http://schemas.openxmlformats.org/drawingml/2006/picture">
            <wp:extent cx="6126480" cy="1431003"/>
            <wp:docPr id="9" name="Picture 9"/>
            <wp:cNvGraphicFramePr>
              <a:graphicFrameLocks noChangeAspect="1"/>
            </wp:cNvGraphicFramePr>
            <a:graphic>
              <a:graphicData uri="http://schemas.openxmlformats.org/drawingml/2006/picture">
                <pic:pic>
                  <pic:nvPicPr>
                    <pic:cNvPr id="0" name="int_after.png"/>
                    <pic:cNvPicPr/>
                  </pic:nvPicPr>
                  <pic:blipFill>
                    <a:blip r:embed="rId20"/>
                    <a:stretch>
                      <a:fillRect/>
                    </a:stretch>
                  </pic:blipFill>
                  <pic:spPr>
                    <a:xfrm>
                      <a:off x="0" y="0"/>
                      <a:ext cx="6126480" cy="1431003"/>
                    </a:xfrm>
                    <a:prstGeom prst="rect"/>
                  </pic:spPr>
                </pic:pic>
              </a:graphicData>
            </a:graphic>
          </wp:inline>
        </w:drawing>
      </w:r>
    </w:p>
    <w:p>
      <w:pPr>
        <w:pStyle w:val="Caption"/>
      </w:pPr>
      <w:r>
        <w:t>After  unpipelined integer occupancy. Source lines 35-42.</w:t>
      </w:r>
    </w:p>
    <w:p>
      <w:r>
        <w:t>Integer occupancy is subtracted from available units, so a three-cycle integer operation blocks its unit for all three cycles. Floating-point units instead use an initiation interval of one cycle. Load/store address calculation uses dedicated adders and never occupies an integer ALU. The benchmark integer_unpipelined exercises latency three, while separate tests verify overlapping FP operations.</w:t>
      </w:r>
    </w:p>
    <w:p>
      <w:pPr>
        <w:pStyle w:val="Heading1"/>
        <w:pageBreakBefore/>
      </w:pPr>
      <w:r>
        <w:t>6 Code changes for branch prediction</w:t>
      </w:r>
    </w:p>
    <w:p>
      <w:r>
        <w:t>The starter disables further issue at Bne until its result is known. I added prediction during issue, an eight-entry direct-mapped target buffer with PC tags, and a separate one-bit direction state for each static branch. A cold branch predicts not taken; a taken prediction needs a matching BTB tag.</w:t>
      </w:r>
    </w:p>
    <w:p>
      <w:r>
        <w:drawing>
          <wp:inline xmlns:a="http://schemas.openxmlformats.org/drawingml/2006/main" xmlns:pic="http://schemas.openxmlformats.org/drawingml/2006/picture">
            <wp:extent cx="6446520" cy="2166454"/>
            <wp:docPr id="10" name="Picture 10"/>
            <wp:cNvGraphicFramePr>
              <a:graphicFrameLocks noChangeAspect="1"/>
            </wp:cNvGraphicFramePr>
            <a:graphic>
              <a:graphicData uri="http://schemas.openxmlformats.org/drawingml/2006/picture">
                <pic:pic>
                  <pic:nvPicPr>
                    <pic:cNvPr id="0" name="branch_before.png"/>
                    <pic:cNvPicPr/>
                  </pic:nvPicPr>
                  <pic:blipFill>
                    <a:blip r:embed="rId21"/>
                    <a:stretch>
                      <a:fillRect/>
                    </a:stretch>
                  </pic:blipFill>
                  <pic:spPr>
                    <a:xfrm>
                      <a:off x="0" y="0"/>
                      <a:ext cx="6446520" cy="2166454"/>
                    </a:xfrm>
                    <a:prstGeom prst="rect"/>
                  </pic:spPr>
                </pic:pic>
              </a:graphicData>
            </a:graphic>
          </wp:inline>
        </w:drawing>
      </w:r>
    </w:p>
    <w:p>
      <w:pPr>
        <w:pStyle w:val="Caption"/>
      </w:pPr>
      <w:r>
        <w:t>Before  starter branch issue stalls the PC. Source lines 234-244.</w:t>
      </w:r>
    </w:p>
    <w:p>
      <w:r>
        <w:drawing>
          <wp:inline xmlns:a="http://schemas.openxmlformats.org/drawingml/2006/main" xmlns:pic="http://schemas.openxmlformats.org/drawingml/2006/picture">
            <wp:extent cx="6446520" cy="2775512"/>
            <wp:docPr id="11" name="Picture 11"/>
            <wp:cNvGraphicFramePr>
              <a:graphicFrameLocks noChangeAspect="1"/>
            </wp:cNvGraphicFramePr>
            <a:graphic>
              <a:graphicData uri="http://schemas.openxmlformats.org/drawingml/2006/picture">
                <pic:pic>
                  <pic:nvPicPr>
                    <pic:cNvPr id="0" name="branch_after.png"/>
                    <pic:cNvPicPr/>
                  </pic:nvPicPr>
                  <pic:blipFill>
                    <a:blip r:embed="rId22"/>
                    <a:stretch>
                      <a:fillRect/>
                    </a:stretch>
                  </pic:blipFill>
                  <pic:spPr>
                    <a:xfrm>
                      <a:off x="0" y="0"/>
                      <a:ext cx="6446520" cy="2775512"/>
                    </a:xfrm>
                    <a:prstGeom prst="rect"/>
                  </pic:spPr>
                </pic:pic>
              </a:graphicData>
            </a:graphic>
          </wp:inline>
        </w:drawing>
      </w:r>
    </w:p>
    <w:p>
      <w:pPr>
        <w:pStyle w:val="Caption"/>
      </w:pPr>
      <w:r>
        <w:t>After  prediction during ISSUE. Source lines 85-99.</w:t>
      </w:r>
    </w:p>
    <w:p>
      <w:r>
        <w:t>The BTB index is the low three bits of the word PC, implemented as instruction_index &amp; 7. Two branches that share an index replace the target entry, and the stored tag prevents using the other branch's target. At the end of EX, the resolved outcome trains the direction bit and target entry. Both Beq and Bne use integer reservation stations.</w:t>
      </w:r>
    </w:p>
    <w:p>
      <w:pPr>
        <w:pStyle w:val="Heading1"/>
        <w:pageBreakBefore/>
      </w:pPr>
      <w:r>
        <w:t>7 Code changes for recovery</w:t>
      </w:r>
    </w:p>
    <w:p>
      <w:r>
        <w:t>A misprediction removes every younger instruction from the ROB, RS, LSQ, active units, and pending result list. Wrong-path operand wait tags are cleared. Architectural state remains precise because only in-order commit updates registers and memory.</w:t>
      </w:r>
    </w:p>
    <w:p>
      <w:r>
        <w:drawing>
          <wp:inline xmlns:a="http://schemas.openxmlformats.org/drawingml/2006/main" xmlns:pic="http://schemas.openxmlformats.org/drawingml/2006/picture">
            <wp:extent cx="6446520" cy="2626046"/>
            <wp:docPr id="12" name="Picture 12"/>
            <wp:cNvGraphicFramePr>
              <a:graphicFrameLocks noChangeAspect="1"/>
            </wp:cNvGraphicFramePr>
            <a:graphic>
              <a:graphicData uri="http://schemas.openxmlformats.org/drawingml/2006/picture">
                <pic:pic>
                  <pic:nvPicPr>
                    <pic:cNvPr id="0" name="squash_after.png"/>
                    <pic:cNvPicPr/>
                  </pic:nvPicPr>
                  <pic:blipFill>
                    <a:blip r:embed="rId23"/>
                    <a:stretch>
                      <a:fillRect/>
                    </a:stretch>
                  </pic:blipFill>
                  <pic:spPr>
                    <a:xfrm>
                      <a:off x="0" y="0"/>
                      <a:ext cx="6446520" cy="2626046"/>
                    </a:xfrm>
                    <a:prstGeom prst="rect"/>
                  </pic:spPr>
                </pic:pic>
              </a:graphicData>
            </a:graphic>
          </wp:inline>
        </w:drawing>
      </w:r>
    </w:p>
    <w:p>
      <w:pPr>
        <w:pStyle w:val="Caption"/>
      </w:pPr>
      <w:r>
        <w:t>After  remove the wrong path and rebuild RAT. Source lines 116-133.</w:t>
      </w:r>
    </w:p>
    <w:p>
      <w:r>
        <w:drawing>
          <wp:inline xmlns:a="http://schemas.openxmlformats.org/drawingml/2006/main" xmlns:pic="http://schemas.openxmlformats.org/drawingml/2006/picture">
            <wp:extent cx="6446520" cy="1864290"/>
            <wp:docPr id="13" name="Picture 13"/>
            <wp:cNvGraphicFramePr>
              <a:graphicFrameLocks noChangeAspect="1"/>
            </wp:cNvGraphicFramePr>
            <a:graphic>
              <a:graphicData uri="http://schemas.openxmlformats.org/drawingml/2006/picture">
                <pic:pic>
                  <pic:nvPicPr>
                    <pic:cNvPr id="0" name="redirect_after.png"/>
                    <pic:cNvPicPr/>
                  </pic:nvPicPr>
                  <pic:blipFill>
                    <a:blip r:embed="rId24"/>
                    <a:stretch>
                      <a:fillRect/>
                    </a:stretch>
                  </pic:blipFill>
                  <pic:spPr>
                    <a:xfrm>
                      <a:off x="0" y="0"/>
                      <a:ext cx="6446520" cy="1864290"/>
                    </a:xfrm>
                    <a:prstGeom prst="rect"/>
                  </pic:spPr>
                </pic:pic>
              </a:graphicData>
            </a:graphic>
          </wp:inline>
        </w:drawing>
      </w:r>
    </w:p>
    <w:p>
      <w:pPr>
        <w:pStyle w:val="Caption"/>
      </w:pPr>
      <w:r>
        <w:t>After  misprediction event and redirect. Source lines 143-152.</w:t>
      </w:r>
    </w:p>
    <w:p>
      <w:r>
        <w:t>Rebuilding the RAT from the surviving ROB entries restores the youngest valid producer for every destination. The fetch resume cycle is detection cycle + 2: the intervening cycle performs recovery. Historical trace rows remain visible with status squashed; an interrupted stage shows X instead of a completion cycle. IPC counts committed instructions only.</w:t>
      </w:r>
    </w:p>
    <w:p>
      <w:r>
        <w:t>Memory-order violations use the same recovery machinery, starting with the oldest invalid load rather than the instruction after a branch. This replay policy is an implementation choice because the handout permits speculative loads but does not prescribe violation recovery timing.</w:t>
      </w:r>
    </w:p>
    <w:p>
      <w:pPr>
        <w:pStyle w:val="Heading1"/>
        <w:pageBreakBefore/>
      </w:pPr>
      <w:r>
        <w:t>8 Code changes for memory</w:t>
      </w:r>
    </w:p>
    <w:p>
      <w:r>
        <w:t>The starter examines a preceding store without a complete age-ordered search. I check older stores, forward the youngest relevant exact match in one cycle, and allow a load to access memory when older store addresses remain unresolved, as the handout specifies.</w:t>
      </w:r>
    </w:p>
    <w:p>
      <w:r>
        <w:drawing>
          <wp:inline xmlns:a="http://schemas.openxmlformats.org/drawingml/2006/main" xmlns:pic="http://schemas.openxmlformats.org/drawingml/2006/picture">
            <wp:extent cx="6446520" cy="2305833"/>
            <wp:docPr id="14" name="Picture 14"/>
            <wp:cNvGraphicFramePr>
              <a:graphicFrameLocks noChangeAspect="1"/>
            </wp:cNvGraphicFramePr>
            <a:graphic>
              <a:graphicData uri="http://schemas.openxmlformats.org/drawingml/2006/picture">
                <pic:pic>
                  <pic:nvPicPr>
                    <pic:cNvPr id="0" name="mem_before.png"/>
                    <pic:cNvPicPr/>
                  </pic:nvPicPr>
                  <pic:blipFill>
                    <a:blip r:embed="rId25"/>
                    <a:stretch>
                      <a:fillRect/>
                    </a:stretch>
                  </pic:blipFill>
                  <pic:spPr>
                    <a:xfrm>
                      <a:off x="0" y="0"/>
                      <a:ext cx="6446520" cy="2305833"/>
                    </a:xfrm>
                    <a:prstGeom prst="rect"/>
                  </pic:spPr>
                </pic:pic>
              </a:graphicData>
            </a:graphic>
          </wp:inline>
        </w:drawing>
      </w:r>
    </w:p>
    <w:p>
      <w:pPr>
        <w:pStyle w:val="Caption"/>
      </w:pPr>
      <w:r>
        <w:t>Before  starter store check. Source lines 15-27.</w:t>
      </w:r>
    </w:p>
    <w:p>
      <w:r>
        <w:drawing>
          <wp:inline xmlns:a="http://schemas.openxmlformats.org/drawingml/2006/main" xmlns:pic="http://schemas.openxmlformats.org/drawingml/2006/picture">
            <wp:extent cx="6446520" cy="3406087"/>
            <wp:docPr id="15" name="Picture 15"/>
            <wp:cNvGraphicFramePr>
              <a:graphicFrameLocks noChangeAspect="1"/>
            </wp:cNvGraphicFramePr>
            <a:graphic>
              <a:graphicData uri="http://schemas.openxmlformats.org/drawingml/2006/picture">
                <pic:pic>
                  <pic:nvPicPr>
                    <pic:cNvPr id="0" name="mem_after.png"/>
                    <pic:cNvPicPr/>
                  </pic:nvPicPr>
                  <pic:blipFill>
                    <a:blip r:embed="rId26"/>
                    <a:stretch>
                      <a:fillRect/>
                    </a:stretch>
                  </pic:blipFill>
                  <pic:spPr>
                    <a:xfrm>
                      <a:off x="0" y="0"/>
                      <a:ext cx="6446520" cy="3406087"/>
                    </a:xfrm>
                    <a:prstGeom prst="rect"/>
                  </pic:spPr>
                </pic:pic>
              </a:graphicData>
            </a:graphic>
          </wp:inline>
        </w:drawing>
      </w:r>
    </w:p>
    <w:p>
      <w:pPr>
        <w:pStyle w:val="Caption"/>
      </w:pPr>
      <w:r>
        <w:t>After  select a load source. Source lines 6-25.</w:t>
      </w:r>
    </w:p>
    <w:p>
      <w:r>
        <w:t>A load records unresolved older-store identifiers. If a later address calculation reveals an overlapping access, the load and its younger instructions are squashed and fetched again. An exact younger forwarding source can make an even older store irrelevant. Known partial-byte overlaps wait for commit so the load reads the correct combined bytes. Completed loads release their LSQ entries immediately.</w:t>
      </w:r>
    </w:p>
    <w:p>
      <w:r>
        <w:t>Memory is a real 256-byte array. Loads, stores, and forwarded values use binary32 rounding. Unaligned addresses are supported because the handout's own input computes address 18. Overlapping accesses share bytes; initialized and stored address views plus nonzero aligned words appear in the memory output.</w:t>
      </w:r>
    </w:p>
    <w:p>
      <w:pPr>
        <w:pStyle w:val="Heading1"/>
        <w:pageBreakBefore/>
      </w:pPr>
      <w:r>
        <w:t>9 Code changes for assignment input</w:t>
      </w:r>
    </w:p>
    <w:p>
      <w:r>
        <w:t>The new primary interface reads configuration, initial state, and assembly from one case-insensitive text file. Hardware rows specify reservation-station counts, execution latency, memory latency where applicable, and unit counts. The load/store row configures address units; memory itself remains a single port in all assignment benchmarks.</w:t>
      </w:r>
    </w:p>
    <w:p>
      <w:r>
        <w:drawing>
          <wp:inline xmlns:a="http://schemas.openxmlformats.org/drawingml/2006/main" xmlns:pic="http://schemas.openxmlformats.org/drawingml/2006/picture">
            <wp:extent cx="5760720" cy="1794323"/>
            <wp:docPr id="16" name="Picture 16"/>
            <wp:cNvGraphicFramePr>
              <a:graphicFrameLocks noChangeAspect="1"/>
            </wp:cNvGraphicFramePr>
            <a:graphic>
              <a:graphicData uri="http://schemas.openxmlformats.org/drawingml/2006/picture">
                <pic:pic>
                  <pic:nvPicPr>
                    <pic:cNvPr id="0" name="parser_before.png"/>
                    <pic:cNvPicPr/>
                  </pic:nvPicPr>
                  <pic:blipFill>
                    <a:blip r:embed="rId27"/>
                    <a:stretch>
                      <a:fillRect/>
                    </a:stretch>
                  </pic:blipFill>
                  <pic:spPr>
                    <a:xfrm>
                      <a:off x="0" y="0"/>
                      <a:ext cx="5760720" cy="1794323"/>
                    </a:xfrm>
                    <a:prstGeom prst="rect"/>
                  </pic:spPr>
                </pic:pic>
              </a:graphicData>
            </a:graphic>
          </wp:inline>
        </w:drawing>
      </w:r>
    </w:p>
    <w:p>
      <w:pPr>
        <w:pStyle w:val="Caption"/>
      </w:pPr>
      <w:r>
        <w:t>Before  fixed-position address parsing. Source lines 141-150.</w:t>
      </w:r>
    </w:p>
    <w:p>
      <w:r>
        <w:drawing>
          <wp:inline xmlns:a="http://schemas.openxmlformats.org/drawingml/2006/main" xmlns:pic="http://schemas.openxmlformats.org/drawingml/2006/picture">
            <wp:extent cx="5760720" cy="2775172"/>
            <wp:docPr id="17" name="Picture 17"/>
            <wp:cNvGraphicFramePr>
              <a:graphicFrameLocks noChangeAspect="1"/>
            </wp:cNvGraphicFramePr>
            <a:graphic>
              <a:graphicData uri="http://schemas.openxmlformats.org/drawingml/2006/picture">
                <pic:pic>
                  <pic:nvPicPr>
                    <pic:cNvPr id="0" name="input_after.png"/>
                    <pic:cNvPicPr/>
                  </pic:nvPicPr>
                  <pic:blipFill>
                    <a:blip r:embed="rId28"/>
                    <a:stretch>
                      <a:fillRect/>
                    </a:stretch>
                  </pic:blipFill>
                  <pic:spPr>
                    <a:xfrm>
                      <a:off x="0" y="0"/>
                      <a:ext cx="5760720" cy="2775172"/>
                    </a:xfrm>
                    <a:prstGeom prst="rect"/>
                  </pic:spPr>
                </pic:pic>
              </a:graphicData>
            </a:graphic>
          </wp:inline>
        </w:drawing>
      </w:r>
    </w:p>
    <w:p>
      <w:pPr>
        <w:pStyle w:val="Caption"/>
      </w:pPr>
      <w:r>
        <w:t>After  one-file input parser. Source lines 247-264.</w:t>
      </w:r>
    </w:p>
    <w:p>
      <w:r>
        <w:drawing>
          <wp:inline xmlns:a="http://schemas.openxmlformats.org/drawingml/2006/main" xmlns:pic="http://schemas.openxmlformats.org/drawingml/2006/picture">
            <wp:extent cx="5760720" cy="824137"/>
            <wp:docPr id="18" name="Picture 18"/>
            <wp:cNvGraphicFramePr>
              <a:graphicFrameLocks noChangeAspect="1"/>
            </wp:cNvGraphicFramePr>
            <a:graphic>
              <a:graphicData uri="http://schemas.openxmlformats.org/drawingml/2006/picture">
                <pic:pic>
                  <pic:nvPicPr>
                    <pic:cNvPr id="0" name="offset_after.png"/>
                    <pic:cNvPicPr/>
                  </pic:nvPicPr>
                  <pic:blipFill>
                    <a:blip r:embed="rId29"/>
                    <a:stretch>
                      <a:fillRect/>
                    </a:stretch>
                  </pic:blipFill>
                  <pic:spPr>
                    <a:xfrm>
                      <a:off x="0" y="0"/>
                      <a:ext cx="5760720" cy="824137"/>
                    </a:xfrm>
                    <a:prstGeom prst="rect"/>
                  </pic:spPr>
                </pic:pic>
              </a:graphicData>
            </a:graphic>
          </wp:inline>
        </w:drawing>
      </w:r>
    </w:p>
    <w:p>
      <w:pPr>
        <w:pStyle w:val="Caption"/>
      </w:pPr>
      <w:r>
        <w:t>After  word-based branch displacement. Source lines 220-223.</w:t>
      </w:r>
    </w:p>
    <w:p>
      <w:r>
        <w:t>Registers omitted from the input are zero. The parser accepts commas, whitespace, comments, signed offsets, multi-digit registers, and labels. It rejects malformed hardware settings, invalid registers, out-of-range memory addresses, and branch targets outside the program. The legacy assembly-plus-JSON interface remains available as an optional extension; the examples and report use --input.</w:t>
      </w:r>
    </w:p>
    <w:p>
      <w:pPr>
        <w:pStyle w:val="Heading1"/>
        <w:pageBreakBefore/>
      </w:pPr>
      <w:r>
        <w:t>10 Test case 1 configuration and input</w:t>
      </w:r>
    </w:p>
    <w:p>
      <w:r>
        <w:t>This test uses the instruction sequence from sample report case 1. The assignment profile holds the CDB and memory port counts at one for every issue width. All unlisted registers are zero; R1 = 12, R2 = 32, and F20 = 3.0 initially.</w:t>
      </w:r>
    </w:p>
    <w:tbl>
      <w:tblPr>
        <w:tblW w:type="auto" w:w="0"/>
        <w:jc w:val="center"/>
        <w:tblLayout w:type="fixed"/>
        <w:tblLook w:firstColumn="1" w:firstRow="1" w:lastColumn="0" w:lastRow="0" w:noHBand="0" w:noVBand="1" w:val="04A0"/>
      </w:tblPr>
      <w:tblGrid>
        <w:gridCol w:w="3024"/>
        <w:gridCol w:w="1872"/>
        <w:gridCol w:w="1728"/>
        <w:gridCol w:w="1800"/>
        <w:gridCol w:w="1728"/>
      </w:tblGrid>
      <w:tr>
        <w:trPr>
          <w:cantSplit/>
          <w:tblHeader/>
        </w:trPr>
        <w:tc>
          <w:tcPr>
            <w:tcW w:type="dxa" w:w="302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Unit</w:t>
            </w:r>
          </w:p>
        </w:tc>
        <w:tc>
          <w:tcPr>
            <w:tcW w:type="dxa" w:w="1872"/>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RS or LSQ</w:t>
            </w:r>
          </w:p>
        </w:tc>
        <w:tc>
          <w:tcPr>
            <w:tcW w:type="dxa" w:w="17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EX cycles</w:t>
            </w:r>
          </w:p>
        </w:tc>
        <w:tc>
          <w:tcPr>
            <w:tcW w:type="dxa" w:w="180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MEM cycles</w:t>
            </w:r>
          </w:p>
        </w:tc>
        <w:tc>
          <w:tcPr>
            <w:tcW w:type="dxa" w:w="17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FUs</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Integer adder</w:t>
            </w:r>
          </w:p>
        </w:tc>
        <w:tc>
          <w:tcPr>
            <w:tcW w:type="dxa" w:w="187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4</w:t>
            </w:r>
          </w:p>
        </w:tc>
        <w:tc>
          <w:tcPr>
            <w:tcW w:type="dxa" w:w="17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1</w:t>
            </w:r>
          </w:p>
        </w:tc>
        <w:tc>
          <w:tcPr>
            <w:tcW w:type="dxa" w:w="180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w:t>
            </w:r>
          </w:p>
        </w:tc>
        <w:tc>
          <w:tcPr>
            <w:tcW w:type="dxa" w:w="17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1</w:t>
            </w:r>
          </w:p>
        </w:tc>
      </w:tr>
      <w:tr>
        <w:trPr>
          <w:cantSplit/>
        </w:trPr>
        <w:tc>
          <w:tcPr>
            <w:tcW w:type="dxa" w:w="302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20"/>
              </w:rPr>
              <w:t>FP adder</w:t>
            </w:r>
          </w:p>
        </w:tc>
        <w:tc>
          <w:tcPr>
            <w:tcW w:type="dxa" w:w="187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4</w:t>
            </w:r>
          </w:p>
        </w:tc>
        <w:tc>
          <w:tcPr>
            <w:tcW w:type="dxa" w:w="17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3</w:t>
            </w:r>
          </w:p>
        </w:tc>
        <w:tc>
          <w:tcPr>
            <w:tcW w:type="dxa" w:w="180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w:t>
            </w:r>
          </w:p>
        </w:tc>
        <w:tc>
          <w:tcPr>
            <w:tcW w:type="dxa" w:w="17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1</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FP multiplier</w:t>
            </w:r>
          </w:p>
        </w:tc>
        <w:tc>
          <w:tcPr>
            <w:tcW w:type="dxa" w:w="187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4</w:t>
            </w:r>
          </w:p>
        </w:tc>
        <w:tc>
          <w:tcPr>
            <w:tcW w:type="dxa" w:w="17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5</w:t>
            </w:r>
          </w:p>
        </w:tc>
        <w:tc>
          <w:tcPr>
            <w:tcW w:type="dxa" w:w="180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w:t>
            </w:r>
          </w:p>
        </w:tc>
        <w:tc>
          <w:tcPr>
            <w:tcW w:type="dxa" w:w="17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1</w:t>
            </w:r>
          </w:p>
        </w:tc>
      </w:tr>
      <w:tr>
        <w:trPr>
          <w:cantSplit/>
        </w:trPr>
        <w:tc>
          <w:tcPr>
            <w:tcW w:type="dxa" w:w="302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20"/>
              </w:rPr>
              <w:t>Load and store</w:t>
            </w:r>
          </w:p>
        </w:tc>
        <w:tc>
          <w:tcPr>
            <w:tcW w:type="dxa" w:w="187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4</w:t>
            </w:r>
          </w:p>
        </w:tc>
        <w:tc>
          <w:tcPr>
            <w:tcW w:type="dxa" w:w="17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1</w:t>
            </w:r>
          </w:p>
        </w:tc>
        <w:tc>
          <w:tcPr>
            <w:tcW w:type="dxa" w:w="180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6</w:t>
            </w:r>
          </w:p>
        </w:tc>
        <w:tc>
          <w:tcPr>
            <w:tcW w:type="dxa" w:w="17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1</w:t>
            </w:r>
          </w:p>
        </w:tc>
      </w:tr>
    </w:tbl>
    <w:p/>
    <w:p>
      <w:r>
        <w:t>ROB entries = 64. Integer units and address adders are unpipelined; FP units are pipelined. The load/store FU count refers to address adders. Memory has one nonpipelined port.</w:t>
      </w:r>
    </w:p>
    <w:tbl>
      <w:tblPr>
        <w:tblW w:type="auto" w:w="0"/>
        <w:jc w:val="center"/>
        <w:tblLayout w:type="fixed"/>
        <w:tblLook w:firstColumn="1" w:firstRow="1" w:lastColumn="0" w:lastRow="0" w:noHBand="0" w:noVBand="1" w:val="04A0"/>
      </w:tblPr>
      <w:tblGrid>
        <w:gridCol w:w="1944"/>
        <w:gridCol w:w="1368"/>
        <w:gridCol w:w="1368"/>
        <w:gridCol w:w="1368"/>
        <w:gridCol w:w="1368"/>
        <w:gridCol w:w="1368"/>
        <w:gridCol w:w="1368"/>
      </w:tblGrid>
      <w:tr>
        <w:trPr>
          <w:cantSplit/>
          <w:tblHeader/>
        </w:trPr>
        <w:tc>
          <w:tcPr>
            <w:tcW w:type="dxa" w:w="194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Address</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4</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8</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12</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24</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28</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32</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Value</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3</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1</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6</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5</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4</w:t>
            </w:r>
          </w:p>
        </w:tc>
      </w:tr>
    </w:tbl>
    <w:p/>
    <w:p>
      <w:pPr>
        <w:spacing w:after="120" w:line="240" w:lineRule="auto"/>
      </w:pPr>
      <w:r>
        <w:rPr>
          <w:rFonts w:ascii="DejaVu Sans Mono" w:hAnsi="DejaVu Sans Mono"/>
          <w:sz w:val="20"/>
        </w:rPr>
        <w:t xml:space="preserve"> 1. Ld F1 0(R1)</w:t>
        <w:br/>
        <w:t xml:space="preserve"> 2. Mult.d F2 F1 F0</w:t>
        <w:br/>
        <w:t xml:space="preserve"> 3. Add.d F3 F3 F2</w:t>
        <w:br/>
        <w:t xml:space="preserve"> 4. Mult.d F2 F1 F1</w:t>
        <w:br/>
        <w:t xml:space="preserve"> 5. Add.d F4 F2 F4</w:t>
        <w:br/>
        <w:t xml:space="preserve"> 6. Addi R1 R1 8</w:t>
        <w:br/>
        <w:t xml:space="preserve"> 7. Ld F1 0(R1)</w:t>
        <w:br/>
        <w:t xml:space="preserve"> 8. Mult.d F2 F1 F0</w:t>
        <w:br/>
        <w:t xml:space="preserve"> 9. Add.d F3 F3 F2</w:t>
        <w:br/>
        <w:t>10. Mult.d F2 F1 F1</w:t>
        <w:br/>
        <w:t>11. Add.d F4 F2 F4</w:t>
        <w:br/>
        <w:t>12. Addi R1 R1 8</w:t>
        <w:br/>
        <w:t>13. Ld F1 0(R1)</w:t>
        <w:br/>
        <w:t>14. Mult.d F2 F1 F0</w:t>
        <w:br/>
        <w:t>15. Add.d F3 F3 F2</w:t>
        <w:br/>
        <w:t>16. Mult.d F2 F1 F1</w:t>
        <w:br/>
        <w:t>17. Add.d F4 F2 F4</w:t>
      </w:r>
    </w:p>
    <w:p>
      <w:r>
        <w:t>Expected final values: R1 = 28, F1 = 5, F2 = 25, F3 = 0, F4 = 26.</w:t>
      </w:r>
    </w:p>
    <w:p>
      <w:r>
        <w:t>The three loads read 1, 0, and 5. F4 accumulates their squares, 1 + 0 + 25 = 26. F0 is zero, so F3 stays zero.</w:t>
      </w:r>
    </w:p>
    <w:p>
      <w:pPr>
        <w:pStyle w:val="Heading1"/>
        <w:pageBreakBefore/>
      </w:pPr>
      <w:r>
        <w:t>11 Test case 2 configuration and input</w:t>
      </w:r>
    </w:p>
    <w:p>
      <w:r>
        <w:t>This test uses the instruction sequence from sample report case 2. The assignment profile holds the CDB and memory port counts at one for every issue width. All unlisted registers are zero; R1 = 12, R2 = 32, and F20 = 3.0 initially.</w:t>
      </w:r>
    </w:p>
    <w:tbl>
      <w:tblPr>
        <w:tblW w:type="auto" w:w="0"/>
        <w:jc w:val="center"/>
        <w:tblLayout w:type="fixed"/>
        <w:tblLook w:firstColumn="1" w:firstRow="1" w:lastColumn="0" w:lastRow="0" w:noHBand="0" w:noVBand="1" w:val="04A0"/>
      </w:tblPr>
      <w:tblGrid>
        <w:gridCol w:w="3024"/>
        <w:gridCol w:w="1872"/>
        <w:gridCol w:w="1728"/>
        <w:gridCol w:w="1800"/>
        <w:gridCol w:w="1728"/>
      </w:tblGrid>
      <w:tr>
        <w:trPr>
          <w:cantSplit/>
          <w:tblHeader/>
        </w:trPr>
        <w:tc>
          <w:tcPr>
            <w:tcW w:type="dxa" w:w="302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Unit</w:t>
            </w:r>
          </w:p>
        </w:tc>
        <w:tc>
          <w:tcPr>
            <w:tcW w:type="dxa" w:w="1872"/>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RS or LSQ</w:t>
            </w:r>
          </w:p>
        </w:tc>
        <w:tc>
          <w:tcPr>
            <w:tcW w:type="dxa" w:w="17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EX cycles</w:t>
            </w:r>
          </w:p>
        </w:tc>
        <w:tc>
          <w:tcPr>
            <w:tcW w:type="dxa" w:w="180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MEM cycles</w:t>
            </w:r>
          </w:p>
        </w:tc>
        <w:tc>
          <w:tcPr>
            <w:tcW w:type="dxa" w:w="17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FUs</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Integer adder</w:t>
            </w:r>
          </w:p>
        </w:tc>
        <w:tc>
          <w:tcPr>
            <w:tcW w:type="dxa" w:w="187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4</w:t>
            </w:r>
          </w:p>
        </w:tc>
        <w:tc>
          <w:tcPr>
            <w:tcW w:type="dxa" w:w="17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1</w:t>
            </w:r>
          </w:p>
        </w:tc>
        <w:tc>
          <w:tcPr>
            <w:tcW w:type="dxa" w:w="180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w:t>
            </w:r>
          </w:p>
        </w:tc>
        <w:tc>
          <w:tcPr>
            <w:tcW w:type="dxa" w:w="17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1</w:t>
            </w:r>
          </w:p>
        </w:tc>
      </w:tr>
      <w:tr>
        <w:trPr>
          <w:cantSplit/>
        </w:trPr>
        <w:tc>
          <w:tcPr>
            <w:tcW w:type="dxa" w:w="302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20"/>
              </w:rPr>
              <w:t>FP adder</w:t>
            </w:r>
          </w:p>
        </w:tc>
        <w:tc>
          <w:tcPr>
            <w:tcW w:type="dxa" w:w="187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3</w:t>
            </w:r>
          </w:p>
        </w:tc>
        <w:tc>
          <w:tcPr>
            <w:tcW w:type="dxa" w:w="17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3</w:t>
            </w:r>
          </w:p>
        </w:tc>
        <w:tc>
          <w:tcPr>
            <w:tcW w:type="dxa" w:w="180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w:t>
            </w:r>
          </w:p>
        </w:tc>
        <w:tc>
          <w:tcPr>
            <w:tcW w:type="dxa" w:w="17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2</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FP multiplier</w:t>
            </w:r>
          </w:p>
        </w:tc>
        <w:tc>
          <w:tcPr>
            <w:tcW w:type="dxa" w:w="187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w:t>
            </w:r>
          </w:p>
        </w:tc>
        <w:tc>
          <w:tcPr>
            <w:tcW w:type="dxa" w:w="17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15</w:t>
            </w:r>
          </w:p>
        </w:tc>
        <w:tc>
          <w:tcPr>
            <w:tcW w:type="dxa" w:w="180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w:t>
            </w:r>
          </w:p>
        </w:tc>
        <w:tc>
          <w:tcPr>
            <w:tcW w:type="dxa" w:w="17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w:t>
            </w:r>
          </w:p>
        </w:tc>
      </w:tr>
      <w:tr>
        <w:trPr>
          <w:cantSplit/>
        </w:trPr>
        <w:tc>
          <w:tcPr>
            <w:tcW w:type="dxa" w:w="302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20"/>
              </w:rPr>
              <w:t>Load and store</w:t>
            </w:r>
          </w:p>
        </w:tc>
        <w:tc>
          <w:tcPr>
            <w:tcW w:type="dxa" w:w="187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4</w:t>
            </w:r>
          </w:p>
        </w:tc>
        <w:tc>
          <w:tcPr>
            <w:tcW w:type="dxa" w:w="17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1</w:t>
            </w:r>
          </w:p>
        </w:tc>
        <w:tc>
          <w:tcPr>
            <w:tcW w:type="dxa" w:w="180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5</w:t>
            </w:r>
          </w:p>
        </w:tc>
        <w:tc>
          <w:tcPr>
            <w:tcW w:type="dxa" w:w="17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20"/>
              </w:rPr>
              <w:t>2</w:t>
            </w:r>
          </w:p>
        </w:tc>
      </w:tr>
    </w:tbl>
    <w:p/>
    <w:p>
      <w:r>
        <w:t>ROB entries = 128. Integer units and address adders are unpipelined; FP units are pipelined. The load/store FU count refers to address adders. Memory has one nonpipelined port.</w:t>
      </w:r>
    </w:p>
    <w:tbl>
      <w:tblPr>
        <w:tblW w:type="auto" w:w="0"/>
        <w:jc w:val="center"/>
        <w:tblLayout w:type="fixed"/>
        <w:tblLook w:firstColumn="1" w:firstRow="1" w:lastColumn="0" w:lastRow="0" w:noHBand="0" w:noVBand="1" w:val="04A0"/>
      </w:tblPr>
      <w:tblGrid>
        <w:gridCol w:w="1944"/>
        <w:gridCol w:w="1368"/>
        <w:gridCol w:w="1368"/>
        <w:gridCol w:w="1368"/>
        <w:gridCol w:w="1368"/>
        <w:gridCol w:w="1368"/>
        <w:gridCol w:w="1368"/>
      </w:tblGrid>
      <w:tr>
        <w:trPr>
          <w:cantSplit/>
          <w:tblHeader/>
        </w:trPr>
        <w:tc>
          <w:tcPr>
            <w:tcW w:type="dxa" w:w="194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Address</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4</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8</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12</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24</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28</w:t>
            </w:r>
          </w:p>
        </w:tc>
        <w:tc>
          <w:tcPr>
            <w:tcW w:type="dxa" w:w="136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32</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Value</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3</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1</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6</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5</w:t>
            </w:r>
          </w:p>
        </w:tc>
        <w:tc>
          <w:tcPr>
            <w:tcW w:type="dxa" w:w="136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4</w:t>
            </w:r>
          </w:p>
        </w:tc>
      </w:tr>
    </w:tbl>
    <w:p/>
    <w:p>
      <w:pPr>
        <w:spacing w:after="120" w:line="240" w:lineRule="auto"/>
      </w:pPr>
      <w:r>
        <w:rPr>
          <w:rFonts w:ascii="DejaVu Sans Mono" w:hAnsi="DejaVu Sans Mono"/>
          <w:sz w:val="20"/>
        </w:rPr>
        <w:t xml:space="preserve"> 1. Ld F1 0(R1)</w:t>
        <w:br/>
        <w:t xml:space="preserve"> 2. Mult.d F2 F1 F0</w:t>
        <w:br/>
        <w:t xml:space="preserve"> 3. Add.d F3 F3 F2</w:t>
        <w:br/>
        <w:t xml:space="preserve"> 4. Mult.d F2 F1 F1</w:t>
        <w:br/>
        <w:t xml:space="preserve"> 5. Ld F1 0(R1)</w:t>
        <w:br/>
        <w:t xml:space="preserve"> 6. Addi R1 R1 4</w:t>
        <w:br/>
        <w:t xml:space="preserve"> 7. Add.d F4 F2 F4</w:t>
        <w:br/>
        <w:t xml:space="preserve"> 8. Addi R1 R1 8</w:t>
        <w:br/>
        <w:t xml:space="preserve"> 9. Ld F1 0(R1)</w:t>
        <w:br/>
        <w:t>10. Mult.d F2 F1 F0</w:t>
        <w:br/>
        <w:t>11. Add.d F3 F3 F2</w:t>
        <w:br/>
        <w:t>12. Mult.d F2 F1 F1</w:t>
        <w:br/>
        <w:t>13. Ld F1 0(R1)</w:t>
        <w:br/>
        <w:t>14. Mult.d F2 F1 F0</w:t>
        <w:br/>
        <w:t>15. Add.d F3 F3 F2</w:t>
        <w:br/>
        <w:t>16. Mult.d F2 F1 F1</w:t>
        <w:br/>
        <w:t>17. Add.d F4 F2 F4</w:t>
      </w:r>
    </w:p>
    <w:p>
      <w:r>
        <w:t>Expected final values: R1 = 24, F1 = 6, F2 = 36, F3 = 0, F4 = 37.</w:t>
      </w:r>
    </w:p>
    <w:p>
      <w:r>
        <w:t>The early loads read 1 and the later loads read 6. F4 becomes 1 + 36 = 37. The sample's two memory units are adapted to the handout's single memory port, so its published cycle totals are not acceptance targets.</w:t>
      </w:r>
    </w:p>
    <w:p>
      <w:pPr>
        <w:pStyle w:val="Heading1"/>
        <w:pageBreakBefore/>
      </w:pPr>
      <w:r>
        <w:t>12 Results across issue widths</w:t>
      </w:r>
    </w:p>
    <w:p>
      <w:r>
        <w:t>Each width is a fresh run with the same program and initial state. Only issue width changes. CDB width = 1, commit width = 1, memory ports = 1, and branch prediction is enabled. Every run verifies all registers, final memory, and committed instruction count against an independent sequential interpreter.</w:t>
      </w:r>
    </w:p>
    <w:tbl>
      <w:tblPr>
        <w:tblW w:type="auto" w:w="0"/>
        <w:jc w:val="center"/>
        <w:tblLayout w:type="fixed"/>
        <w:tblLook w:firstColumn="1" w:firstRow="1" w:lastColumn="0" w:lastRow="0" w:noHBand="0" w:noVBand="1" w:val="04A0"/>
      </w:tblPr>
      <w:tblGrid>
        <w:gridCol w:w="3024"/>
        <w:gridCol w:w="1152"/>
        <w:gridCol w:w="1152"/>
        <w:gridCol w:w="1152"/>
        <w:gridCol w:w="1152"/>
        <w:gridCol w:w="1944"/>
      </w:tblGrid>
      <w:tr>
        <w:trPr>
          <w:cantSplit/>
          <w:tblHeader/>
        </w:trPr>
        <w:tc>
          <w:tcPr>
            <w:tcW w:type="dxa" w:w="302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9"/>
              </w:rPr>
              <w:t>Program</w:t>
            </w:r>
          </w:p>
        </w:tc>
        <w:tc>
          <w:tcPr>
            <w:tcW w:type="dxa" w:w="1152"/>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9"/>
              </w:rPr>
              <w:t>W1</w:t>
            </w:r>
          </w:p>
        </w:tc>
        <w:tc>
          <w:tcPr>
            <w:tcW w:type="dxa" w:w="1152"/>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9"/>
              </w:rPr>
              <w:t>W2</w:t>
            </w:r>
          </w:p>
        </w:tc>
        <w:tc>
          <w:tcPr>
            <w:tcW w:type="dxa" w:w="1152"/>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9"/>
              </w:rPr>
              <w:t>W3</w:t>
            </w:r>
          </w:p>
        </w:tc>
        <w:tc>
          <w:tcPr>
            <w:tcW w:type="dxa" w:w="1152"/>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9"/>
              </w:rPr>
              <w:t>W4</w:t>
            </w:r>
          </w:p>
        </w:tc>
        <w:tc>
          <w:tcPr>
            <w:tcW w:type="dxa" w:w="194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9"/>
              </w:rPr>
              <w:t>W4 speedup</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9"/>
              </w:rPr>
              <w:t>Sample case 1</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36</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36</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36</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36</w:t>
            </w:r>
          </w:p>
        </w:tc>
        <w:tc>
          <w:tcPr>
            <w:tcW w:type="dxa" w:w="194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1.000x</w:t>
            </w:r>
          </w:p>
        </w:tc>
      </w:tr>
      <w:tr>
        <w:trPr>
          <w:cantSplit/>
        </w:trPr>
        <w:tc>
          <w:tcPr>
            <w:tcW w:type="dxa" w:w="302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9"/>
              </w:rPr>
              <w:t>Sample case 2</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47</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46</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46</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46</w:t>
            </w:r>
          </w:p>
        </w:tc>
        <w:tc>
          <w:tcPr>
            <w:tcW w:type="dxa" w:w="194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1.022x</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9"/>
              </w:rPr>
              <w:t>Starter branch</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45</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45</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45</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45</w:t>
            </w:r>
          </w:p>
        </w:tc>
        <w:tc>
          <w:tcPr>
            <w:tcW w:type="dxa" w:w="194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1.000x</w:t>
            </w:r>
          </w:p>
        </w:tc>
      </w:tr>
      <w:tr>
        <w:trPr>
          <w:cantSplit/>
        </w:trPr>
        <w:tc>
          <w:tcPr>
            <w:tcW w:type="dxa" w:w="302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9"/>
              </w:rPr>
              <w:t>Complete loop</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67</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66</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66</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66</w:t>
            </w:r>
          </w:p>
        </w:tc>
        <w:tc>
          <w:tcPr>
            <w:tcW w:type="dxa" w:w="194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1.015x</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9"/>
              </w:rPr>
              <w:t>Independent integer</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27</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27</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27</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27</w:t>
            </w:r>
          </w:p>
        </w:tc>
        <w:tc>
          <w:tcPr>
            <w:tcW w:type="dxa" w:w="194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1.000x</w:t>
            </w:r>
          </w:p>
        </w:tc>
      </w:tr>
      <w:tr>
        <w:trPr>
          <w:cantSplit/>
        </w:trPr>
        <w:tc>
          <w:tcPr>
            <w:tcW w:type="dxa" w:w="302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9"/>
              </w:rPr>
              <w:t>Terminating handout</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10</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9</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9</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9</w:t>
            </w:r>
          </w:p>
        </w:tc>
        <w:tc>
          <w:tcPr>
            <w:tcW w:type="dxa" w:w="194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1.111x</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9"/>
              </w:rPr>
              <w:t>Branch recovery</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28</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25</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25</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25</w:t>
            </w:r>
          </w:p>
        </w:tc>
        <w:tc>
          <w:tcPr>
            <w:tcW w:type="dxa" w:w="194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1.120x</w:t>
            </w:r>
          </w:p>
        </w:tc>
      </w:tr>
      <w:tr>
        <w:trPr>
          <w:cantSplit/>
        </w:trPr>
        <w:tc>
          <w:tcPr>
            <w:tcW w:type="dxa" w:w="302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9"/>
              </w:rPr>
              <w:t>Memory replay</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19</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19</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19</w:t>
            </w:r>
          </w:p>
        </w:tc>
        <w:tc>
          <w:tcPr>
            <w:tcW w:type="dxa" w:w="115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19</w:t>
            </w:r>
          </w:p>
        </w:tc>
        <w:tc>
          <w:tcPr>
            <w:tcW w:type="dxa" w:w="1944"/>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1.000x</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9"/>
              </w:rPr>
              <w:t>Three cycle integer</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12</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12</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12</w:t>
            </w:r>
          </w:p>
        </w:tc>
        <w:tc>
          <w:tcPr>
            <w:tcW w:type="dxa" w:w="115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12</w:t>
            </w:r>
          </w:p>
        </w:tc>
        <w:tc>
          <w:tcPr>
            <w:tcW w:type="dxa" w:w="194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1.000x</w:t>
            </w:r>
          </w:p>
        </w:tc>
      </w:tr>
    </w:tbl>
    <w:p/>
    <w:p>
      <w:r>
        <w:t>The table reports total cycles, including pipeline fill, recovery, and drain. IPC is committed instructions divided by cycles. Speedup is width-1 cycles divided by the compared width's cycles. Squashed instructions consume resources but do not count as committed work.</w:t>
      </w:r>
    </w:p>
    <w:p>
      <w:pPr>
        <w:pStyle w:val="Heading2"/>
      </w:pPr>
      <w:r>
        <w:t>Interpretation</w:t>
      </w:r>
    </w:p>
    <w:p>
      <w:r>
        <w:t>Sample case 1 takes 36, 36, 36, 36 cycles at widths 1 through 4. Sample case 2 takes 47, 46, 46, 46 cycles. A wider issue stage cannot remove dependency delays, the one-result CDB limit, or single-port memory occupancy. For some short programs, earlier speculative work also changes resource contention and recovery timing.</w:t>
      </w:r>
    </w:p>
    <w:p>
      <w:pPr>
        <w:pStyle w:val="Heading2"/>
      </w:pPr>
      <w:r>
        <w:t>Relationship to the sample report</w:t>
      </w:r>
    </w:p>
    <w:p>
      <w:r>
        <w:t>The sample is a formatting reference, not a timing oracle for this machine. Its wider-issue comparisons also widen write back and commit, and its second configuration has two memory units. This report keeps the handout's single CDB and single memory port. All dependencies obey one consistent rule: a WB value is usable in the following cycle. Matching a total cycle count would not establish identical intermediate timings.</w:t>
      </w:r>
    </w:p>
    <w:p>
      <w:r>
        <w:t>The unchanged literal handout example loops because R2 = 20 and R3 = 0 never change. It is retained as handout_literal.in and reaches the configured cycle limit at all four widths. assignment_demo.in changes only R3 to 20 so the example terminates; that adaptation is labeled explicitly.</w:t>
      </w:r>
    </w:p>
    <w:p>
      <w:pPr>
        <w:pStyle w:val="Heading1"/>
        <w:pageBreakBefore/>
      </w:pPr>
      <w:r>
        <w:t>13 Detailed instruction timings</w:t>
      </w:r>
    </w:p>
    <w:p>
      <w:pPr>
        <w:pStyle w:val="Heading2"/>
      </w:pPr>
      <w:r>
        <w:t>Test case 1 with issue width 1</w:t>
      </w:r>
    </w:p>
    <w:p>
      <w:r>
        <w:t>Issue width = 1. One CDB, one commit per cycle, and one nonpipelined memory port. Hardware and initial state are listed in the corresponding test-case section. EX and MEM ranges are inclusive.</w:t>
      </w:r>
    </w:p>
    <w:tbl>
      <w:tblPr>
        <w:tblW w:type="auto" w:w="0"/>
        <w:jc w:val="center"/>
        <w:tblLayout w:type="fixed"/>
        <w:tblLook w:firstColumn="1" w:firstRow="1" w:lastColumn="0" w:lastRow="0" w:noHBand="0" w:noVBand="1" w:val="04A0"/>
      </w:tblPr>
      <w:tblGrid>
        <w:gridCol w:w="547"/>
        <w:gridCol w:w="3528"/>
        <w:gridCol w:w="950"/>
        <w:gridCol w:w="1440"/>
        <w:gridCol w:w="1440"/>
        <w:gridCol w:w="835"/>
        <w:gridCol w:w="1411"/>
      </w:tblGrid>
      <w:tr>
        <w:trPr>
          <w:cantSplit/>
          <w:tblHeader/>
        </w:trPr>
        <w:tc>
          <w:tcPr>
            <w:tcW w:type="dxa" w:w="547"/>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8"/>
              </w:rPr>
              <w:t>ID</w:t>
            </w:r>
          </w:p>
        </w:tc>
        <w:tc>
          <w:tcPr>
            <w:tcW w:type="dxa" w:w="35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Instruction</w:t>
            </w:r>
          </w:p>
        </w:tc>
        <w:tc>
          <w:tcPr>
            <w:tcW w:type="dxa" w:w="95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ISSUE</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EX</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MEM</w:t>
            </w:r>
          </w:p>
        </w:tc>
        <w:tc>
          <w:tcPr>
            <w:tcW w:type="dxa" w:w="83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WB</w:t>
            </w:r>
          </w:p>
        </w:tc>
        <w:tc>
          <w:tcPr>
            <w:tcW w:type="dxa" w:w="1411"/>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COMMIT</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3-8</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10-14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16</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16-18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11-15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16</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21</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17-19</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20</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6</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7-7</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8</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9-9</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10-15</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17</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8</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8</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18-22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9</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24-26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27</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10</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10</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19-23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29</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25-27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13-13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31</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15-15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16-21</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32</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23-27</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29</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33</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30-32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17</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24-28</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30</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31-33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34</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36</w:t>
            </w:r>
          </w:p>
        </w:tc>
      </w:tr>
    </w:tbl>
    <w:p/>
    <w:p>
      <w:pPr>
        <w:pStyle w:val="Caption"/>
      </w:pPr>
      <w:r>
        <w:t>Figure 1. Generated timing table for test case 1, width 1.</w:t>
      </w:r>
    </w:p>
    <w:p>
      <w:r>
        <w:t>The run commits 17 instructions in 36 cycles. IPC = 0.472; speedup relative to width 1 = 1.000x. The independent final-state check passes.</w:t>
      </w:r>
    </w:p>
    <w:p>
      <w:r>
        <w:t>Multiplier example: instructions 2 and 4 execute in cycles 10-14 and 11-15. Their WB cycles are 15 and 16. FP pipeline availability controls execution starts; the single CDB separately controls result broadcast.</w:t>
      </w:r>
    </w:p>
    <w:tbl>
      <w:tblPr>
        <w:tblW w:type="auto" w:w="0"/>
        <w:jc w:val="center"/>
        <w:tblLayout w:type="fixed"/>
        <w:tblLook w:firstColumn="1" w:firstRow="1" w:lastColumn="0" w:lastRow="0" w:noHBand="0" w:noVBand="1" w:val="04A0"/>
      </w:tblPr>
      <w:tblGrid>
        <w:gridCol w:w="2160"/>
        <w:gridCol w:w="1584"/>
        <w:gridCol w:w="1584"/>
        <w:gridCol w:w="1584"/>
        <w:gridCol w:w="1584"/>
        <w:gridCol w:w="1584"/>
      </w:tblGrid>
      <w:tr>
        <w:trPr>
          <w:cantSplit/>
          <w:tblHeader/>
        </w:trPr>
        <w:tc>
          <w:tcPr>
            <w:tcW w:type="dxa" w:w="216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Register</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R1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F2</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F3</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F4</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Final value</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28</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5.0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25.0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0.0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26.0</w:t>
            </w:r>
          </w:p>
        </w:tc>
      </w:tr>
    </w:tbl>
    <w:p/>
    <w:p>
      <w:r>
        <w:t>The complete output files also list all 64 architectural registers and nonzero memory. Memory is unchanged for this program.</w:t>
      </w:r>
    </w:p>
    <w:p>
      <w:pPr>
        <w:pStyle w:val="Heading1"/>
        <w:pageBreakBefore/>
      </w:pPr>
      <w:r>
        <w:t>Test case 1 with issue width 2</w:t>
      </w:r>
    </w:p>
    <w:p>
      <w:r>
        <w:t>Issue width = 2. One CDB, one commit per cycle, and one nonpipelined memory port. Hardware and initial state are listed in the corresponding test-case section. EX and MEM ranges are inclusive.</w:t>
      </w:r>
    </w:p>
    <w:tbl>
      <w:tblPr>
        <w:tblW w:type="auto" w:w="0"/>
        <w:jc w:val="center"/>
        <w:tblLayout w:type="fixed"/>
        <w:tblLook w:firstColumn="1" w:firstRow="1" w:lastColumn="0" w:lastRow="0" w:noHBand="0" w:noVBand="1" w:val="04A0"/>
      </w:tblPr>
      <w:tblGrid>
        <w:gridCol w:w="547"/>
        <w:gridCol w:w="3528"/>
        <w:gridCol w:w="950"/>
        <w:gridCol w:w="1440"/>
        <w:gridCol w:w="1440"/>
        <w:gridCol w:w="835"/>
        <w:gridCol w:w="1411"/>
      </w:tblGrid>
      <w:tr>
        <w:trPr>
          <w:cantSplit/>
          <w:tblHeader/>
        </w:trPr>
        <w:tc>
          <w:tcPr>
            <w:tcW w:type="dxa" w:w="547"/>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8"/>
              </w:rPr>
              <w:t>ID</w:t>
            </w:r>
          </w:p>
        </w:tc>
        <w:tc>
          <w:tcPr>
            <w:tcW w:type="dxa" w:w="35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Instruction</w:t>
            </w:r>
          </w:p>
        </w:tc>
        <w:tc>
          <w:tcPr>
            <w:tcW w:type="dxa" w:w="95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ISSUE</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EX</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MEM</w:t>
            </w:r>
          </w:p>
        </w:tc>
        <w:tc>
          <w:tcPr>
            <w:tcW w:type="dxa" w:w="83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WB</w:t>
            </w:r>
          </w:p>
        </w:tc>
        <w:tc>
          <w:tcPr>
            <w:tcW w:type="dxa" w:w="1411"/>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COMMIT</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3-8</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10-14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16</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16-18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11-15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17</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21</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18-20</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21</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6-6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9-14</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8</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17-21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9</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24-26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27</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10</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18-22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29</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25-27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6</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7-7</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8</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31</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9-9</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15-20</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32</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10</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23-27</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29</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33</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30-32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16</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24-28</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30</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31-33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34</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36</w:t>
            </w:r>
          </w:p>
        </w:tc>
      </w:tr>
    </w:tbl>
    <w:p/>
    <w:p>
      <w:pPr>
        <w:pStyle w:val="Caption"/>
      </w:pPr>
      <w:r>
        <w:t>Figure 2. Generated timing table for test case 1, width 2.</w:t>
      </w:r>
    </w:p>
    <w:p>
      <w:r>
        <w:t>The run commits 17 instructions in 36 cycles. IPC = 0.472; speedup relative to width 1 = 1.000x. The independent final-state check passes.</w:t>
      </w:r>
    </w:p>
    <w:p>
      <w:r>
        <w:t>Multiplier example: instructions 2 and 4 execute in cycles 10-14 and 11-15. Their WB cycles are 15 and 17. FP pipeline availability controls execution starts; the single CDB separately controls result broadcast.</w:t>
      </w:r>
    </w:p>
    <w:tbl>
      <w:tblPr>
        <w:tblW w:type="auto" w:w="0"/>
        <w:jc w:val="center"/>
        <w:tblLayout w:type="fixed"/>
        <w:tblLook w:firstColumn="1" w:firstRow="1" w:lastColumn="0" w:lastRow="0" w:noHBand="0" w:noVBand="1" w:val="04A0"/>
      </w:tblPr>
      <w:tblGrid>
        <w:gridCol w:w="2160"/>
        <w:gridCol w:w="1584"/>
        <w:gridCol w:w="1584"/>
        <w:gridCol w:w="1584"/>
        <w:gridCol w:w="1584"/>
        <w:gridCol w:w="1584"/>
      </w:tblGrid>
      <w:tr>
        <w:trPr>
          <w:cantSplit/>
          <w:tblHeader/>
        </w:trPr>
        <w:tc>
          <w:tcPr>
            <w:tcW w:type="dxa" w:w="216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Register</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R1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F2</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F3</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F4</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Final value</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28</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5.0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25.0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0.0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26.0</w:t>
            </w:r>
          </w:p>
        </w:tc>
      </w:tr>
    </w:tbl>
    <w:p/>
    <w:p>
      <w:r>
        <w:t>The complete output files also list all 64 architectural registers and nonzero memory. Memory is unchanged for this program.</w:t>
      </w:r>
    </w:p>
    <w:p>
      <w:pPr>
        <w:pStyle w:val="Heading1"/>
        <w:pageBreakBefore/>
      </w:pPr>
      <w:r>
        <w:t>Test case 1 with issue width 3</w:t>
      </w:r>
    </w:p>
    <w:p>
      <w:r>
        <w:t>Issue width = 3. One CDB, one commit per cycle, and one nonpipelined memory port. Hardware and initial state are listed in the corresponding test-case section. EX and MEM ranges are inclusive.</w:t>
      </w:r>
    </w:p>
    <w:tbl>
      <w:tblPr>
        <w:tblW w:type="auto" w:w="0"/>
        <w:jc w:val="center"/>
        <w:tblLayout w:type="fixed"/>
        <w:tblLook w:firstColumn="1" w:firstRow="1" w:lastColumn="0" w:lastRow="0" w:noHBand="0" w:noVBand="1" w:val="04A0"/>
      </w:tblPr>
      <w:tblGrid>
        <w:gridCol w:w="547"/>
        <w:gridCol w:w="3528"/>
        <w:gridCol w:w="950"/>
        <w:gridCol w:w="1440"/>
        <w:gridCol w:w="1440"/>
        <w:gridCol w:w="835"/>
        <w:gridCol w:w="1411"/>
      </w:tblGrid>
      <w:tr>
        <w:trPr>
          <w:cantSplit/>
          <w:tblHeader/>
        </w:trPr>
        <w:tc>
          <w:tcPr>
            <w:tcW w:type="dxa" w:w="547"/>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8"/>
              </w:rPr>
              <w:t>ID</w:t>
            </w:r>
          </w:p>
        </w:tc>
        <w:tc>
          <w:tcPr>
            <w:tcW w:type="dxa" w:w="35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Instruction</w:t>
            </w:r>
          </w:p>
        </w:tc>
        <w:tc>
          <w:tcPr>
            <w:tcW w:type="dxa" w:w="95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ISSUE</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EX</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MEM</w:t>
            </w:r>
          </w:p>
        </w:tc>
        <w:tc>
          <w:tcPr>
            <w:tcW w:type="dxa" w:w="83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WB</w:t>
            </w:r>
          </w:p>
        </w:tc>
        <w:tc>
          <w:tcPr>
            <w:tcW w:type="dxa" w:w="1411"/>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COMMIT</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3-8</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10-14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16</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16-18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11-15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17</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21</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18-20</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21</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5-5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9-14</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8</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17-21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9</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24-26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27</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10</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18-22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29</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25-27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5-5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6</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31</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7-7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15-20</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32</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10</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23-27</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29</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33</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30-32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16</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24-28</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30</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31-33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34</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36</w:t>
            </w:r>
          </w:p>
        </w:tc>
      </w:tr>
    </w:tbl>
    <w:p/>
    <w:p>
      <w:pPr>
        <w:pStyle w:val="Caption"/>
      </w:pPr>
      <w:r>
        <w:t>Figure 3. Generated timing table for test case 1, width 3.</w:t>
      </w:r>
    </w:p>
    <w:p>
      <w:r>
        <w:t>The run commits 17 instructions in 36 cycles. IPC = 0.472; speedup relative to width 1 = 1.000x. The independent final-state check passes.</w:t>
      </w:r>
    </w:p>
    <w:p>
      <w:r>
        <w:t>Multiplier example: instructions 2 and 4 execute in cycles 10-14 and 11-15. Their WB cycles are 15 and 17. FP pipeline availability controls execution starts; the single CDB separately controls result broadcast.</w:t>
      </w:r>
    </w:p>
    <w:tbl>
      <w:tblPr>
        <w:tblW w:type="auto" w:w="0"/>
        <w:jc w:val="center"/>
        <w:tblLayout w:type="fixed"/>
        <w:tblLook w:firstColumn="1" w:firstRow="1" w:lastColumn="0" w:lastRow="0" w:noHBand="0" w:noVBand="1" w:val="04A0"/>
      </w:tblPr>
      <w:tblGrid>
        <w:gridCol w:w="2160"/>
        <w:gridCol w:w="1584"/>
        <w:gridCol w:w="1584"/>
        <w:gridCol w:w="1584"/>
        <w:gridCol w:w="1584"/>
        <w:gridCol w:w="1584"/>
      </w:tblGrid>
      <w:tr>
        <w:trPr>
          <w:cantSplit/>
          <w:tblHeader/>
        </w:trPr>
        <w:tc>
          <w:tcPr>
            <w:tcW w:type="dxa" w:w="216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Register</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R1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F2</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F3</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F4</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Final value</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28</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5.0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25.0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0.0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26.0</w:t>
            </w:r>
          </w:p>
        </w:tc>
      </w:tr>
    </w:tbl>
    <w:p/>
    <w:p>
      <w:r>
        <w:t>The complete output files also list all 64 architectural registers and nonzero memory. Memory is unchanged for this program.</w:t>
      </w:r>
    </w:p>
    <w:p>
      <w:pPr>
        <w:pStyle w:val="Heading1"/>
        <w:pageBreakBefore/>
      </w:pPr>
      <w:r>
        <w:t>Test case 1 with issue width 4</w:t>
      </w:r>
    </w:p>
    <w:p>
      <w:r>
        <w:t>Issue width = 4. One CDB, one commit per cycle, and one nonpipelined memory port. Hardware and initial state are listed in the corresponding test-case section. EX and MEM ranges are inclusive.</w:t>
      </w:r>
    </w:p>
    <w:tbl>
      <w:tblPr>
        <w:tblW w:type="auto" w:w="0"/>
        <w:jc w:val="center"/>
        <w:tblLayout w:type="fixed"/>
        <w:tblLook w:firstColumn="1" w:firstRow="1" w:lastColumn="0" w:lastRow="0" w:noHBand="0" w:noVBand="1" w:val="04A0"/>
      </w:tblPr>
      <w:tblGrid>
        <w:gridCol w:w="547"/>
        <w:gridCol w:w="3528"/>
        <w:gridCol w:w="950"/>
        <w:gridCol w:w="1440"/>
        <w:gridCol w:w="1440"/>
        <w:gridCol w:w="835"/>
        <w:gridCol w:w="1411"/>
      </w:tblGrid>
      <w:tr>
        <w:trPr>
          <w:cantSplit/>
          <w:tblHeader/>
        </w:trPr>
        <w:tc>
          <w:tcPr>
            <w:tcW w:type="dxa" w:w="547"/>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8"/>
              </w:rPr>
              <w:t>ID</w:t>
            </w:r>
          </w:p>
        </w:tc>
        <w:tc>
          <w:tcPr>
            <w:tcW w:type="dxa" w:w="35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Instruction</w:t>
            </w:r>
          </w:p>
        </w:tc>
        <w:tc>
          <w:tcPr>
            <w:tcW w:type="dxa" w:w="95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ISSUE</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EX</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MEM</w:t>
            </w:r>
          </w:p>
        </w:tc>
        <w:tc>
          <w:tcPr>
            <w:tcW w:type="dxa" w:w="83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WB</w:t>
            </w:r>
          </w:p>
        </w:tc>
        <w:tc>
          <w:tcPr>
            <w:tcW w:type="dxa" w:w="1411"/>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COMMIT</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3-8</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10-14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16</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16-18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11-15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17</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21</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18-20</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21</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5-5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9-14</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8</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17-21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9</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24-26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27</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10</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18-22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29</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25-27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30</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5-5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6</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31</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7-7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15-20</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32</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10</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23-27</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29</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33</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30-32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16</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24-28</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30</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31-33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34</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36</w:t>
            </w:r>
          </w:p>
        </w:tc>
      </w:tr>
    </w:tbl>
    <w:p/>
    <w:p>
      <w:pPr>
        <w:pStyle w:val="Caption"/>
      </w:pPr>
      <w:r>
        <w:t>Figure 4. Generated timing table for test case 1, width 4.</w:t>
      </w:r>
    </w:p>
    <w:p>
      <w:r>
        <w:t>The run commits 17 instructions in 36 cycles. IPC = 0.472; speedup relative to width 1 = 1.000x. The independent final-state check passes.</w:t>
      </w:r>
    </w:p>
    <w:p>
      <w:r>
        <w:t>Multiplier example: instructions 2 and 4 execute in cycles 10-14 and 11-15. Their WB cycles are 15 and 17. FP pipeline availability controls execution starts; the single CDB separately controls result broadcast.</w:t>
      </w:r>
    </w:p>
    <w:tbl>
      <w:tblPr>
        <w:tblW w:type="auto" w:w="0"/>
        <w:jc w:val="center"/>
        <w:tblLayout w:type="fixed"/>
        <w:tblLook w:firstColumn="1" w:firstRow="1" w:lastColumn="0" w:lastRow="0" w:noHBand="0" w:noVBand="1" w:val="04A0"/>
      </w:tblPr>
      <w:tblGrid>
        <w:gridCol w:w="2160"/>
        <w:gridCol w:w="1584"/>
        <w:gridCol w:w="1584"/>
        <w:gridCol w:w="1584"/>
        <w:gridCol w:w="1584"/>
        <w:gridCol w:w="1584"/>
      </w:tblGrid>
      <w:tr>
        <w:trPr>
          <w:cantSplit/>
          <w:tblHeader/>
        </w:trPr>
        <w:tc>
          <w:tcPr>
            <w:tcW w:type="dxa" w:w="216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Register</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R1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F2</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F3</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F4</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Final value</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28</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5.0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25.0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0.0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26.0</w:t>
            </w:r>
          </w:p>
        </w:tc>
      </w:tr>
    </w:tbl>
    <w:p/>
    <w:p>
      <w:r>
        <w:t>The complete output files also list all 64 architectural registers and nonzero memory. Memory is unchanged for this program.</w:t>
      </w:r>
    </w:p>
    <w:p>
      <w:pPr>
        <w:pStyle w:val="Heading1"/>
        <w:pageBreakBefore/>
      </w:pPr>
      <w:r>
        <w:t>Test case 2 with issue width 1</w:t>
      </w:r>
    </w:p>
    <w:p>
      <w:r>
        <w:t>Issue width = 1. One CDB, one commit per cycle, and one nonpipelined memory port. Hardware and initial state are listed in the corresponding test-case section. EX and MEM ranges are inclusive.</w:t>
      </w:r>
    </w:p>
    <w:tbl>
      <w:tblPr>
        <w:tblW w:type="auto" w:w="0"/>
        <w:jc w:val="center"/>
        <w:tblLayout w:type="fixed"/>
        <w:tblLook w:firstColumn="1" w:firstRow="1" w:lastColumn="0" w:lastRow="0" w:noHBand="0" w:noVBand="1" w:val="04A0"/>
      </w:tblPr>
      <w:tblGrid>
        <w:gridCol w:w="547"/>
        <w:gridCol w:w="3528"/>
        <w:gridCol w:w="950"/>
        <w:gridCol w:w="1440"/>
        <w:gridCol w:w="1440"/>
        <w:gridCol w:w="835"/>
        <w:gridCol w:w="1411"/>
      </w:tblGrid>
      <w:tr>
        <w:trPr>
          <w:cantSplit/>
          <w:tblHeader/>
        </w:trPr>
        <w:tc>
          <w:tcPr>
            <w:tcW w:type="dxa" w:w="547"/>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8"/>
              </w:rPr>
              <w:t>ID</w:t>
            </w:r>
          </w:p>
        </w:tc>
        <w:tc>
          <w:tcPr>
            <w:tcW w:type="dxa" w:w="35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Instruction</w:t>
            </w:r>
          </w:p>
        </w:tc>
        <w:tc>
          <w:tcPr>
            <w:tcW w:type="dxa" w:w="95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ISSUE</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EX</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MEM</w:t>
            </w:r>
          </w:p>
        </w:tc>
        <w:tc>
          <w:tcPr>
            <w:tcW w:type="dxa" w:w="83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WB</w:t>
            </w:r>
          </w:p>
        </w:tc>
        <w:tc>
          <w:tcPr>
            <w:tcW w:type="dxa" w:w="1411"/>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COMMIT</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3-7</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9-23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25-27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9-23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30</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6-6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8-12</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31</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4</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6</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7-7</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32</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26-28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33</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8</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8</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10-10</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11</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34</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9</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12-12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13-17</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35</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10</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10</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36</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35-37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40</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14-14</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18-22</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41</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24-38</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39</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42</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40-42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26</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27-41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42</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43-45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46</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47</w:t>
            </w:r>
          </w:p>
        </w:tc>
      </w:tr>
    </w:tbl>
    <w:p/>
    <w:p>
      <w:pPr>
        <w:pStyle w:val="Caption"/>
      </w:pPr>
      <w:r>
        <w:t>Figure 5. Generated timing table for test case 2, width 1.</w:t>
      </w:r>
    </w:p>
    <w:p>
      <w:r>
        <w:t>The run commits 17 instructions in 47 cycles. IPC = 0.362; speedup relative to width 1 = 1.000x. The independent final-state check passes.</w:t>
      </w:r>
    </w:p>
    <w:p>
      <w:r>
        <w:t>Multiplier example: instructions 2 and 4 execute in cycles 9-23 and 9-23. Their WB cycles are 24 and 25. FP pipeline availability controls execution starts; the single CDB separately controls result broadcast.</w:t>
      </w:r>
    </w:p>
    <w:tbl>
      <w:tblPr>
        <w:tblW w:type="auto" w:w="0"/>
        <w:jc w:val="center"/>
        <w:tblLayout w:type="fixed"/>
        <w:tblLook w:firstColumn="1" w:firstRow="1" w:lastColumn="0" w:lastRow="0" w:noHBand="0" w:noVBand="1" w:val="04A0"/>
      </w:tblPr>
      <w:tblGrid>
        <w:gridCol w:w="2160"/>
        <w:gridCol w:w="1584"/>
        <w:gridCol w:w="1584"/>
        <w:gridCol w:w="1584"/>
        <w:gridCol w:w="1584"/>
        <w:gridCol w:w="1584"/>
      </w:tblGrid>
      <w:tr>
        <w:trPr>
          <w:cantSplit/>
          <w:tblHeader/>
        </w:trPr>
        <w:tc>
          <w:tcPr>
            <w:tcW w:type="dxa" w:w="216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Register</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R1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F2</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F3</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F4</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Final value</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24</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6.0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36.0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0.0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37.0</w:t>
            </w:r>
          </w:p>
        </w:tc>
      </w:tr>
    </w:tbl>
    <w:p/>
    <w:p>
      <w:r>
        <w:t>The complete output files also list all 64 architectural registers and nonzero memory. Memory is unchanged for this program.</w:t>
      </w:r>
    </w:p>
    <w:p>
      <w:pPr>
        <w:pStyle w:val="Heading1"/>
        <w:pageBreakBefore/>
      </w:pPr>
      <w:r>
        <w:t>Test case 2 with issue width 2</w:t>
      </w:r>
    </w:p>
    <w:p>
      <w:r>
        <w:t>Issue width = 2. One CDB, one commit per cycle, and one nonpipelined memory port. Hardware and initial state are listed in the corresponding test-case section. EX and MEM ranges are inclusive.</w:t>
      </w:r>
    </w:p>
    <w:tbl>
      <w:tblPr>
        <w:tblW w:type="auto" w:w="0"/>
        <w:jc w:val="center"/>
        <w:tblLayout w:type="fixed"/>
        <w:tblLook w:firstColumn="1" w:firstRow="1" w:lastColumn="0" w:lastRow="0" w:noHBand="0" w:noVBand="1" w:val="04A0"/>
      </w:tblPr>
      <w:tblGrid>
        <w:gridCol w:w="547"/>
        <w:gridCol w:w="3528"/>
        <w:gridCol w:w="950"/>
        <w:gridCol w:w="1440"/>
        <w:gridCol w:w="1440"/>
        <w:gridCol w:w="835"/>
        <w:gridCol w:w="1411"/>
      </w:tblGrid>
      <w:tr>
        <w:trPr>
          <w:cantSplit/>
          <w:tblHeader/>
        </w:trPr>
        <w:tc>
          <w:tcPr>
            <w:tcW w:type="dxa" w:w="547"/>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8"/>
              </w:rPr>
              <w:t>ID</w:t>
            </w:r>
          </w:p>
        </w:tc>
        <w:tc>
          <w:tcPr>
            <w:tcW w:type="dxa" w:w="35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Instruction</w:t>
            </w:r>
          </w:p>
        </w:tc>
        <w:tc>
          <w:tcPr>
            <w:tcW w:type="dxa" w:w="95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ISSUE</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EX</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MEM</w:t>
            </w:r>
          </w:p>
        </w:tc>
        <w:tc>
          <w:tcPr>
            <w:tcW w:type="dxa" w:w="83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WB</w:t>
            </w:r>
          </w:p>
        </w:tc>
        <w:tc>
          <w:tcPr>
            <w:tcW w:type="dxa" w:w="1411"/>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COMMIT</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3-7</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9-23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25-27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9-23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30</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4-4</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8-12</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31</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4</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32</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26-28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33</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8</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6-6</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7</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34</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9</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8-8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13-17</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35</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10</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36</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35-37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10</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40</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10</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11-11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18-22</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41</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24-38</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39</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42</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40-42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26-40</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41</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42-44</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45</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46</w:t>
            </w:r>
          </w:p>
        </w:tc>
      </w:tr>
    </w:tbl>
    <w:p/>
    <w:p>
      <w:pPr>
        <w:pStyle w:val="Caption"/>
      </w:pPr>
      <w:r>
        <w:t>Figure 6. Generated timing table for test case 2, width 2.</w:t>
      </w:r>
    </w:p>
    <w:p>
      <w:r>
        <w:t>The run commits 17 instructions in 46 cycles. IPC = 0.370; speedup relative to width 1 = 1.022x. The independent final-state check passes.</w:t>
      </w:r>
    </w:p>
    <w:p>
      <w:r>
        <w:t>Multiplier example: instructions 2 and 4 execute in cycles 9-23 and 9-23. Their WB cycles are 24 and 25. FP pipeline availability controls execution starts; the single CDB separately controls result broadcast.</w:t>
      </w:r>
    </w:p>
    <w:tbl>
      <w:tblPr>
        <w:tblW w:type="auto" w:w="0"/>
        <w:jc w:val="center"/>
        <w:tblLayout w:type="fixed"/>
        <w:tblLook w:firstColumn="1" w:firstRow="1" w:lastColumn="0" w:lastRow="0" w:noHBand="0" w:noVBand="1" w:val="04A0"/>
      </w:tblPr>
      <w:tblGrid>
        <w:gridCol w:w="2160"/>
        <w:gridCol w:w="1584"/>
        <w:gridCol w:w="1584"/>
        <w:gridCol w:w="1584"/>
        <w:gridCol w:w="1584"/>
        <w:gridCol w:w="1584"/>
      </w:tblGrid>
      <w:tr>
        <w:trPr>
          <w:cantSplit/>
          <w:tblHeader/>
        </w:trPr>
        <w:tc>
          <w:tcPr>
            <w:tcW w:type="dxa" w:w="216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Register</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R1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F2</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F3</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F4</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Final value</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24</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6.0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36.0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0.0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37.0</w:t>
            </w:r>
          </w:p>
        </w:tc>
      </w:tr>
    </w:tbl>
    <w:p/>
    <w:p>
      <w:r>
        <w:t>The complete output files also list all 64 architectural registers and nonzero memory. Memory is unchanged for this program.</w:t>
      </w:r>
    </w:p>
    <w:p>
      <w:pPr>
        <w:pStyle w:val="Heading1"/>
        <w:pageBreakBefore/>
      </w:pPr>
      <w:r>
        <w:t>Test case 2 with issue width 3</w:t>
      </w:r>
    </w:p>
    <w:p>
      <w:r>
        <w:t>Issue width = 3. One CDB, one commit per cycle, and one nonpipelined memory port. Hardware and initial state are listed in the corresponding test-case section. EX and MEM ranges are inclusive.</w:t>
      </w:r>
    </w:p>
    <w:tbl>
      <w:tblPr>
        <w:tblW w:type="auto" w:w="0"/>
        <w:jc w:val="center"/>
        <w:tblLayout w:type="fixed"/>
        <w:tblLook w:firstColumn="1" w:firstRow="1" w:lastColumn="0" w:lastRow="0" w:noHBand="0" w:noVBand="1" w:val="04A0"/>
      </w:tblPr>
      <w:tblGrid>
        <w:gridCol w:w="547"/>
        <w:gridCol w:w="3528"/>
        <w:gridCol w:w="950"/>
        <w:gridCol w:w="1440"/>
        <w:gridCol w:w="1440"/>
        <w:gridCol w:w="835"/>
        <w:gridCol w:w="1411"/>
      </w:tblGrid>
      <w:tr>
        <w:trPr>
          <w:cantSplit/>
          <w:tblHeader/>
        </w:trPr>
        <w:tc>
          <w:tcPr>
            <w:tcW w:type="dxa" w:w="547"/>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8"/>
              </w:rPr>
              <w:t>ID</w:t>
            </w:r>
          </w:p>
        </w:tc>
        <w:tc>
          <w:tcPr>
            <w:tcW w:type="dxa" w:w="35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Instruction</w:t>
            </w:r>
          </w:p>
        </w:tc>
        <w:tc>
          <w:tcPr>
            <w:tcW w:type="dxa" w:w="95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ISSUE</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EX</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MEM</w:t>
            </w:r>
          </w:p>
        </w:tc>
        <w:tc>
          <w:tcPr>
            <w:tcW w:type="dxa" w:w="83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WB</w:t>
            </w:r>
          </w:p>
        </w:tc>
        <w:tc>
          <w:tcPr>
            <w:tcW w:type="dxa" w:w="1411"/>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COMMIT</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3-7</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9-23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25-27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9-23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30</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8-12</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31</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4</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32</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26-28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33</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8</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5-5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6</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34</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9</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7-7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13-17</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35</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10</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36</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35-37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40</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10</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11-11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18-22</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41</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24-38</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39</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42</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40-42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26-40</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41</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42-44</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45</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46</w:t>
            </w:r>
          </w:p>
        </w:tc>
      </w:tr>
    </w:tbl>
    <w:p/>
    <w:p>
      <w:pPr>
        <w:pStyle w:val="Caption"/>
      </w:pPr>
      <w:r>
        <w:t>Figure 7. Generated timing table for test case 2, width 3.</w:t>
      </w:r>
    </w:p>
    <w:p>
      <w:r>
        <w:t>The run commits 17 instructions in 46 cycles. IPC = 0.370; speedup relative to width 1 = 1.022x. The independent final-state check passes.</w:t>
      </w:r>
    </w:p>
    <w:p>
      <w:r>
        <w:t>Multiplier example: instructions 2 and 4 execute in cycles 9-23 and 9-23. Their WB cycles are 24 and 25. FP pipeline availability controls execution starts; the single CDB separately controls result broadcast.</w:t>
      </w:r>
    </w:p>
    <w:tbl>
      <w:tblPr>
        <w:tblW w:type="auto" w:w="0"/>
        <w:jc w:val="center"/>
        <w:tblLayout w:type="fixed"/>
        <w:tblLook w:firstColumn="1" w:firstRow="1" w:lastColumn="0" w:lastRow="0" w:noHBand="0" w:noVBand="1" w:val="04A0"/>
      </w:tblPr>
      <w:tblGrid>
        <w:gridCol w:w="2160"/>
        <w:gridCol w:w="1584"/>
        <w:gridCol w:w="1584"/>
        <w:gridCol w:w="1584"/>
        <w:gridCol w:w="1584"/>
        <w:gridCol w:w="1584"/>
      </w:tblGrid>
      <w:tr>
        <w:trPr>
          <w:cantSplit/>
          <w:tblHeader/>
        </w:trPr>
        <w:tc>
          <w:tcPr>
            <w:tcW w:type="dxa" w:w="216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Register</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R1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F2</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F3</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F4</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Final value</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24</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6.0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36.0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0.0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37.0</w:t>
            </w:r>
          </w:p>
        </w:tc>
      </w:tr>
    </w:tbl>
    <w:p/>
    <w:p>
      <w:r>
        <w:t>The complete output files also list all 64 architectural registers and nonzero memory. Memory is unchanged for this program.</w:t>
      </w:r>
    </w:p>
    <w:p>
      <w:pPr>
        <w:pStyle w:val="Heading1"/>
        <w:pageBreakBefore/>
      </w:pPr>
      <w:r>
        <w:t>Test case 2 with issue width 4</w:t>
      </w:r>
    </w:p>
    <w:p>
      <w:r>
        <w:t>Issue width = 4. One CDB, one commit per cycle, and one nonpipelined memory port. Hardware and initial state are listed in the corresponding test-case section. EX and MEM ranges are inclusive.</w:t>
      </w:r>
    </w:p>
    <w:tbl>
      <w:tblPr>
        <w:tblW w:type="auto" w:w="0"/>
        <w:jc w:val="center"/>
        <w:tblLayout w:type="fixed"/>
        <w:tblLook w:firstColumn="1" w:firstRow="1" w:lastColumn="0" w:lastRow="0" w:noHBand="0" w:noVBand="1" w:val="04A0"/>
      </w:tblPr>
      <w:tblGrid>
        <w:gridCol w:w="547"/>
        <w:gridCol w:w="3528"/>
        <w:gridCol w:w="950"/>
        <w:gridCol w:w="1440"/>
        <w:gridCol w:w="1440"/>
        <w:gridCol w:w="835"/>
        <w:gridCol w:w="1411"/>
      </w:tblGrid>
      <w:tr>
        <w:trPr>
          <w:cantSplit/>
          <w:tblHeader/>
        </w:trPr>
        <w:tc>
          <w:tcPr>
            <w:tcW w:type="dxa" w:w="547"/>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8"/>
              </w:rPr>
              <w:t>ID</w:t>
            </w:r>
          </w:p>
        </w:tc>
        <w:tc>
          <w:tcPr>
            <w:tcW w:type="dxa" w:w="3528"/>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Instruction</w:t>
            </w:r>
          </w:p>
        </w:tc>
        <w:tc>
          <w:tcPr>
            <w:tcW w:type="dxa" w:w="95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ISSUE</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EX</w:t>
            </w:r>
          </w:p>
        </w:tc>
        <w:tc>
          <w:tcPr>
            <w:tcW w:type="dxa" w:w="14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MEM</w:t>
            </w:r>
          </w:p>
        </w:tc>
        <w:tc>
          <w:tcPr>
            <w:tcW w:type="dxa" w:w="83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WB</w:t>
            </w:r>
          </w:p>
        </w:tc>
        <w:tc>
          <w:tcPr>
            <w:tcW w:type="dxa" w:w="1411"/>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8"/>
              </w:rPr>
              <w:t>COMMIT</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3-7</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9-23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25-27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9-23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30</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8-12</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31</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4</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32</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26-28</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29</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33</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8</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Addi R1 R1 8</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5-5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6</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34</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9</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7-7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13-17</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35</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10</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34</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36</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11</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35-37</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38</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39</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12</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9</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19-33</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35</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40</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13</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Ld F1 0(R1)</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9</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10-10</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18-22</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41</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14</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F0</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19</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24-38</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39</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42</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15</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F3 F3 F2</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25</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40-42</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43</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44</w:t>
            </w:r>
          </w:p>
        </w:tc>
      </w:tr>
      <w:tr>
        <w:trPr>
          <w:cantSplit/>
        </w:trPr>
        <w:tc>
          <w:tcPr>
            <w:tcW w:type="dxa" w:w="54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8"/>
              </w:rPr>
              <w:t>16</w:t>
            </w:r>
          </w:p>
        </w:tc>
        <w:tc>
          <w:tcPr>
            <w:tcW w:type="dxa" w:w="3528"/>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Mult.d F2 F1 F1</w:t>
            </w:r>
          </w:p>
        </w:tc>
        <w:tc>
          <w:tcPr>
            <w:tcW w:type="dxa" w:w="95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25</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26-40</w:t>
            </w:r>
          </w:p>
        </w:tc>
        <w:tc>
          <w:tcPr>
            <w:tcW w:type="dxa" w:w="14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41</w:t>
            </w:r>
          </w:p>
        </w:tc>
        <w:tc>
          <w:tcPr>
            <w:tcW w:type="dxa" w:w="141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8"/>
              </w:rPr>
              <w:t>45</w:t>
            </w:r>
          </w:p>
        </w:tc>
      </w:tr>
      <w:tr>
        <w:trPr>
          <w:cantSplit/>
        </w:trPr>
        <w:tc>
          <w:tcPr>
            <w:tcW w:type="dxa" w:w="54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8"/>
              </w:rPr>
              <w:t>17</w:t>
            </w:r>
          </w:p>
        </w:tc>
        <w:tc>
          <w:tcPr>
            <w:tcW w:type="dxa" w:w="3528"/>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Add.d F4 F2 F4</w:t>
            </w:r>
          </w:p>
        </w:tc>
        <w:tc>
          <w:tcPr>
            <w:tcW w:type="dxa" w:w="95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26</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42-44</w:t>
            </w:r>
          </w:p>
        </w:tc>
        <w:tc>
          <w:tcPr>
            <w:tcW w:type="dxa" w:w="14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w:t>
            </w:r>
          </w:p>
        </w:tc>
        <w:tc>
          <w:tcPr>
            <w:tcW w:type="dxa" w:w="83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45</w:t>
            </w:r>
          </w:p>
        </w:tc>
        <w:tc>
          <w:tcPr>
            <w:tcW w:type="dxa" w:w="141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8"/>
              </w:rPr>
              <w:t>46</w:t>
            </w:r>
          </w:p>
        </w:tc>
      </w:tr>
    </w:tbl>
    <w:p/>
    <w:p>
      <w:pPr>
        <w:pStyle w:val="Caption"/>
      </w:pPr>
      <w:r>
        <w:t>Figure 8. Generated timing table for test case 2, width 4.</w:t>
      </w:r>
    </w:p>
    <w:p>
      <w:r>
        <w:t>The run commits 17 instructions in 46 cycles. IPC = 0.370; speedup relative to width 1 = 1.022x. The independent final-state check passes.</w:t>
      </w:r>
    </w:p>
    <w:p>
      <w:r>
        <w:t>Multiplier example: instructions 2 and 4 execute in cycles 9-23 and 9-23. Their WB cycles are 24 and 25. FP pipeline availability controls execution starts; the single CDB separately controls result broadcast.</w:t>
      </w:r>
    </w:p>
    <w:tbl>
      <w:tblPr>
        <w:tblW w:type="auto" w:w="0"/>
        <w:jc w:val="center"/>
        <w:tblLayout w:type="fixed"/>
        <w:tblLook w:firstColumn="1" w:firstRow="1" w:lastColumn="0" w:lastRow="0" w:noHBand="0" w:noVBand="1" w:val="04A0"/>
      </w:tblPr>
      <w:tblGrid>
        <w:gridCol w:w="2160"/>
        <w:gridCol w:w="1584"/>
        <w:gridCol w:w="1584"/>
        <w:gridCol w:w="1584"/>
        <w:gridCol w:w="1584"/>
        <w:gridCol w:w="1584"/>
      </w:tblGrid>
      <w:tr>
        <w:trPr>
          <w:cantSplit/>
          <w:tblHeader/>
        </w:trPr>
        <w:tc>
          <w:tcPr>
            <w:tcW w:type="dxa" w:w="216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Register</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R1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F1</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F2</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F3</w:t>
            </w:r>
          </w:p>
        </w:tc>
        <w:tc>
          <w:tcPr>
            <w:tcW w:type="dxa" w:w="1584"/>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F4</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Final value</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24</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6.0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36.0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0.0</w:t>
            </w:r>
          </w:p>
        </w:tc>
        <w:tc>
          <w:tcPr>
            <w:tcW w:type="dxa" w:w="1584"/>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37.0</w:t>
            </w:r>
          </w:p>
        </w:tc>
      </w:tr>
    </w:tbl>
    <w:p/>
    <w:p>
      <w:r>
        <w:t>The complete output files also list all 64 architectural registers and nonzero memory. Memory is unchanged for this program.</w:t>
      </w:r>
    </w:p>
    <w:p>
      <w:pPr>
        <w:pStyle w:val="Heading1"/>
        <w:pageBreakBefore/>
      </w:pPr>
      <w:r>
        <w:t>14 Branch prediction and recovery evidence</w:t>
      </w:r>
    </w:p>
    <w:p>
      <w:r>
        <w:t>This additional terminating loop exercises cold prediction, a learned taken prediction, and a not-taken loop exit. The table records all dynamic instructions, including work that was later squashed. C means committed; X means squashed. A stage range ending in X was interrupted.</w:t>
      </w:r>
    </w:p>
    <w:p>
      <w:pPr>
        <w:spacing w:after="120" w:line="240" w:lineRule="auto"/>
      </w:pPr>
      <w:r>
        <w:rPr>
          <w:rFonts w:ascii="DejaVu Sans Mono" w:hAnsi="DejaVu Sans Mono"/>
          <w:sz w:val="20"/>
        </w:rPr>
        <w:t>Addi R1 R0 3</w:t>
        <w:br/>
        <w:t>Addi R2 R0 0</w:t>
        <w:br/>
        <w:t>Addi R2 R2 4</w:t>
        <w:br/>
        <w:t>Addi R1 R1 -1</w:t>
        <w:br/>
        <w:t>Bne R1 R0 -3</w:t>
        <w:br/>
        <w:t>Addi R3 R0 99</w:t>
        <w:br/>
        <w:t>Sd F20 0(R2)</w:t>
      </w:r>
    </w:p>
    <w:tbl>
      <w:tblPr>
        <w:tblW w:type="auto" w:w="0"/>
        <w:jc w:val="center"/>
        <w:tblLayout w:type="fixed"/>
        <w:tblLook w:firstColumn="1" w:firstRow="1" w:lastColumn="0" w:lastRow="0" w:noHBand="0" w:noVBand="1" w:val="04A0"/>
      </w:tblPr>
      <w:tblGrid>
        <w:gridCol w:w="461"/>
        <w:gridCol w:w="2736"/>
        <w:gridCol w:w="763"/>
        <w:gridCol w:w="1195"/>
        <w:gridCol w:w="1195"/>
        <w:gridCol w:w="677"/>
        <w:gridCol w:w="965"/>
        <w:gridCol w:w="720"/>
      </w:tblGrid>
      <w:tr>
        <w:trPr>
          <w:cantSplit/>
          <w:tblHeader/>
        </w:trPr>
        <w:tc>
          <w:tcPr>
            <w:tcW w:type="dxa" w:w="461"/>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6"/>
              </w:rPr>
              <w:t>ID</w:t>
            </w:r>
          </w:p>
        </w:tc>
        <w:tc>
          <w:tcPr>
            <w:tcW w:type="dxa" w:w="2736"/>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Instruction</w:t>
            </w:r>
          </w:p>
        </w:tc>
        <w:tc>
          <w:tcPr>
            <w:tcW w:type="dxa" w:w="763"/>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ISSUE</w:t>
            </w:r>
          </w:p>
        </w:tc>
        <w:tc>
          <w:tcPr>
            <w:tcW w:type="dxa" w:w="119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EX</w:t>
            </w:r>
          </w:p>
        </w:tc>
        <w:tc>
          <w:tcPr>
            <w:tcW w:type="dxa" w:w="119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MEM</w:t>
            </w:r>
          </w:p>
        </w:tc>
        <w:tc>
          <w:tcPr>
            <w:tcW w:type="dxa" w:w="677"/>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WB</w:t>
            </w:r>
          </w:p>
        </w:tc>
        <w:tc>
          <w:tcPr>
            <w:tcW w:type="dxa" w:w="96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COMMIT</w:t>
            </w:r>
          </w:p>
        </w:tc>
        <w:tc>
          <w:tcPr>
            <w:tcW w:type="dxa" w:w="72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State</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1</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Addi R1 R0 3</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2-2</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3</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4</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2</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Addi R2 R0 0</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3-3</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4</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5</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3</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Addi R2 R2 4</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5-5</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6</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7</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4</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Addi R1 R1 -1</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4-4</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5</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8</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5</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Bne R1 R0 -3</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2</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6-6</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9</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6</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Addi R3 R0 99</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3</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X</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7</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Sd F20 0(R2)</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3</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X</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8</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Addi R2 R2 4</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8</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9-9</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10</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11</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9</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Addi R1 R1 -1</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8</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10-10</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11</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12</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10</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Bne R1 R0 -3</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8</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12-12</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13</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11</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Addi R2 R2 4</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8</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11-11</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12</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14</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12</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Addi R1 R1 -1</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9</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13-13</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14</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15</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13</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Bne R1 R0 -3</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10</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15-15</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16</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14</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Addi R2 R2 4</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11</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14-14</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15</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X</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15</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Addi R1 R1 -1</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12</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X</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16</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Bne R1 R0 -3</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13</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X</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17</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Addi R2 R2 4</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14</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X</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18</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Addi R3 R0 99</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17</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18-18</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19</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20</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19</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Sd F20 0(R2)</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17</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18-18</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20-24</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25</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C</w:t>
            </w:r>
          </w:p>
        </w:tc>
      </w:tr>
    </w:tbl>
    <w:p/>
    <w:tbl>
      <w:tblPr>
        <w:tblW w:type="auto" w:w="0"/>
        <w:jc w:val="center"/>
        <w:tblLayout w:type="fixed"/>
        <w:tblLook w:firstColumn="1" w:firstRow="1" w:lastColumn="0" w:lastRow="0" w:noHBand="0" w:noVBand="1" w:val="04A0"/>
      </w:tblPr>
      <w:tblGrid>
        <w:gridCol w:w="1512"/>
        <w:gridCol w:w="1800"/>
        <w:gridCol w:w="1800"/>
        <w:gridCol w:w="5040"/>
      </w:tblGrid>
      <w:tr>
        <w:trPr>
          <w:cantSplit/>
          <w:tblHeader/>
        </w:trPr>
        <w:tc>
          <w:tcPr>
            <w:tcW w:type="dxa" w:w="1512"/>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9"/>
              </w:rPr>
              <w:t>Branch ID</w:t>
            </w:r>
          </w:p>
        </w:tc>
        <w:tc>
          <w:tcPr>
            <w:tcW w:type="dxa" w:w="180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9"/>
              </w:rPr>
              <w:t>EX resolves</w:t>
            </w:r>
          </w:p>
        </w:tc>
        <w:tc>
          <w:tcPr>
            <w:tcW w:type="dxa" w:w="180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9"/>
              </w:rPr>
              <w:t>Correct fetch</w:t>
            </w:r>
          </w:p>
        </w:tc>
        <w:tc>
          <w:tcPr>
            <w:tcW w:type="dxa" w:w="504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9"/>
              </w:rPr>
              <w:t>Discarded IDs</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9"/>
              </w:rPr>
              <w:t>5</w:t>
            </w:r>
          </w:p>
        </w:tc>
        <w:tc>
          <w:tcPr>
            <w:tcW w:type="dxa" w:w="180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6</w:t>
            </w:r>
          </w:p>
        </w:tc>
        <w:tc>
          <w:tcPr>
            <w:tcW w:type="dxa" w:w="180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8</w:t>
            </w:r>
          </w:p>
        </w:tc>
        <w:tc>
          <w:tcPr>
            <w:tcW w:type="dxa" w:w="504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9"/>
              </w:rPr>
              <w:t>6, 7</w:t>
            </w:r>
          </w:p>
        </w:tc>
      </w:tr>
      <w:tr>
        <w:trPr>
          <w:cantSplit/>
        </w:trPr>
        <w:tc>
          <w:tcPr>
            <w:tcW w:type="dxa" w:w="1512"/>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9"/>
              </w:rPr>
              <w:t>13</w:t>
            </w:r>
          </w:p>
        </w:tc>
        <w:tc>
          <w:tcPr>
            <w:tcW w:type="dxa" w:w="180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15</w:t>
            </w:r>
          </w:p>
        </w:tc>
        <w:tc>
          <w:tcPr>
            <w:tcW w:type="dxa" w:w="180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17</w:t>
            </w:r>
          </w:p>
        </w:tc>
        <w:tc>
          <w:tcPr>
            <w:tcW w:type="dxa" w:w="504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9"/>
              </w:rPr>
              <w:t>14, 15, 16, 17</w:t>
            </w:r>
          </w:p>
        </w:tc>
      </w:tr>
    </w:tbl>
    <w:p/>
    <w:p>
      <w:r>
        <w:t>This width-4 run commits 13 instructions in 25 cycles, with 2 branch mispredictions. For every event, correct fetching resumes at resolution + 2. The regression suite separately verifies BTB index collisions, older RAT recovery, and suppression of wrong-path stores and invalid-address loads.</w:t>
      </w:r>
    </w:p>
    <w:p>
      <w:pPr>
        <w:pStyle w:val="Heading1"/>
        <w:pageBreakBefore/>
      </w:pPr>
      <w:r>
        <w:t>15 Speculative memory and validation</w:t>
      </w:r>
    </w:p>
    <w:p>
      <w:r>
        <w:t>The load reads byte address 16 because R2 is initialized to 16. The older store also targets 16 after Addi produces R1. With R2 = 0, the load would read address 0 and no replay would occur. This width-4 trace uses one CDB, one commit per cycle, one memory port, and 256-byte memory; all unlisted registers and memory bytes start at zero.</w:t>
      </w:r>
    </w:p>
    <w:p>
      <w:pPr>
        <w:spacing w:after="120" w:line="240" w:lineRule="auto"/>
      </w:pPr>
      <w:r>
        <w:rPr>
          <w:rFonts w:ascii="DejaVu Sans Mono" w:hAnsi="DejaVu Sans Mono"/>
          <w:sz w:val="18"/>
        </w:rPr>
        <w:t># Unit                 RS             EX              MEM        FUs</w:t>
        <w:br/>
        <w:t>Integer adder           4               4                          1</w:t>
        <w:br/>
        <w:t>FP adder                3               3                          1</w:t>
        <w:br/>
        <w:t>FP multiplier           2              15                          1</w:t>
        <w:br/>
        <w:t>Load/store unit         4               1               2          1</w:t>
        <w:br/>
        <w:t>ROB entries = 64</w:t>
        <w:br/>
        <w:t>Issue width = 4</w:t>
        <w:br/>
        <w:t>R2=16, F20=7</w:t>
        <w:br/>
        <w:t>Mem[16]=1</w:t>
        <w:br/>
        <w:t>Addi R1 R0 16</w:t>
        <w:br/>
        <w:t>Sd F20 0(R1)</w:t>
        <w:br/>
        <w:t>Ld F2 0(R2)</w:t>
        <w:br/>
        <w:t>Add.d F4 F2 F2</w:t>
        <w:br/>
        <w:t>Addi R3 R0 99</w:t>
      </w:r>
    </w:p>
    <w:p>
      <w:r>
        <w:t>Reproduce the displayed run with the supplied input file and this issue-width override:</w:t>
      </w:r>
    </w:p>
    <w:p>
      <w:pPr>
        <w:spacing w:after="120" w:line="240" w:lineRule="auto"/>
      </w:pPr>
      <w:r>
        <w:rPr>
          <w:rFonts w:ascii="DejaVu Sans Mono" w:hAnsi="DejaVu Sans Mono"/>
          <w:sz w:val="18"/>
        </w:rPr>
        <w:t>python3 code/main.py --input examples/memory_replay.in --issue-width 4</w:t>
      </w:r>
    </w:p>
    <w:tbl>
      <w:tblPr>
        <w:tblW w:type="auto" w:w="0"/>
        <w:jc w:val="center"/>
        <w:tblLayout w:type="fixed"/>
        <w:tblLook w:firstColumn="1" w:firstRow="1" w:lastColumn="0" w:lastRow="0" w:noHBand="0" w:noVBand="1" w:val="04A0"/>
      </w:tblPr>
      <w:tblGrid>
        <w:gridCol w:w="461"/>
        <w:gridCol w:w="2736"/>
        <w:gridCol w:w="763"/>
        <w:gridCol w:w="1195"/>
        <w:gridCol w:w="1195"/>
        <w:gridCol w:w="677"/>
        <w:gridCol w:w="965"/>
        <w:gridCol w:w="720"/>
      </w:tblGrid>
      <w:tr>
        <w:trPr>
          <w:cantSplit/>
          <w:tblHeader/>
        </w:trPr>
        <w:tc>
          <w:tcPr>
            <w:tcW w:type="dxa" w:w="461"/>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16"/>
              </w:rPr>
              <w:t>ID</w:t>
            </w:r>
          </w:p>
        </w:tc>
        <w:tc>
          <w:tcPr>
            <w:tcW w:type="dxa" w:w="2736"/>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Instruction</w:t>
            </w:r>
          </w:p>
        </w:tc>
        <w:tc>
          <w:tcPr>
            <w:tcW w:type="dxa" w:w="763"/>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ISSUE</w:t>
            </w:r>
          </w:p>
        </w:tc>
        <w:tc>
          <w:tcPr>
            <w:tcW w:type="dxa" w:w="119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EX</w:t>
            </w:r>
          </w:p>
        </w:tc>
        <w:tc>
          <w:tcPr>
            <w:tcW w:type="dxa" w:w="119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MEM</w:t>
            </w:r>
          </w:p>
        </w:tc>
        <w:tc>
          <w:tcPr>
            <w:tcW w:type="dxa" w:w="677"/>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WB</w:t>
            </w:r>
          </w:p>
        </w:tc>
        <w:tc>
          <w:tcPr>
            <w:tcW w:type="dxa" w:w="965"/>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COMMIT</w:t>
            </w:r>
          </w:p>
        </w:tc>
        <w:tc>
          <w:tcPr>
            <w:tcW w:type="dxa" w:w="72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16"/>
              </w:rPr>
              <w:t>State</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1</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Addi R1 R0 16</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2-5</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6</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7</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2</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Sd F20 0(R1)</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7-7</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8-9</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10</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3</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Ld F2 0(R2)</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2-2</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3-4</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5</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X</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4</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Add.d F4 F2 F2</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6-X</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X</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5</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Addi R3 R0 99</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2</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6-X</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X</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6</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Ld F2 0(R2)</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9</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10-10</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11-12</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13</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14</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16"/>
              </w:rPr>
              <w:t>7</w:t>
            </w:r>
          </w:p>
        </w:tc>
        <w:tc>
          <w:tcPr>
            <w:tcW w:type="dxa" w:w="2736"/>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Add.d F4 F2 F2</w:t>
            </w:r>
          </w:p>
        </w:tc>
        <w:tc>
          <w:tcPr>
            <w:tcW w:type="dxa" w:w="763"/>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9</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14-16</w:t>
            </w:r>
          </w:p>
        </w:tc>
        <w:tc>
          <w:tcPr>
            <w:tcW w:type="dxa" w:w="119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17</w:t>
            </w:r>
          </w:p>
        </w:tc>
        <w:tc>
          <w:tcPr>
            <w:tcW w:type="dxa" w:w="965"/>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18</w:t>
            </w:r>
          </w:p>
        </w:tc>
        <w:tc>
          <w:tcPr>
            <w:tcW w:type="dxa" w:w="7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16"/>
              </w:rPr>
              <w:t>C</w:t>
            </w:r>
          </w:p>
        </w:tc>
      </w:tr>
      <w:tr>
        <w:trPr>
          <w:cantSplit/>
        </w:trPr>
        <w:tc>
          <w:tcPr>
            <w:tcW w:type="dxa" w:w="461"/>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pPr>
            <w:r>
              <w:rPr>
                <w:b w:val="0"/>
                <w:sz w:val="16"/>
              </w:rPr>
              <w:t>8</w:t>
            </w:r>
          </w:p>
        </w:tc>
        <w:tc>
          <w:tcPr>
            <w:tcW w:type="dxa" w:w="2736"/>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Addi R3 R0 99</w:t>
            </w:r>
          </w:p>
        </w:tc>
        <w:tc>
          <w:tcPr>
            <w:tcW w:type="dxa" w:w="763"/>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9</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10-13</w:t>
            </w:r>
          </w:p>
        </w:tc>
        <w:tc>
          <w:tcPr>
            <w:tcW w:type="dxa" w:w="119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w:t>
            </w:r>
          </w:p>
        </w:tc>
        <w:tc>
          <w:tcPr>
            <w:tcW w:type="dxa" w:w="677"/>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14</w:t>
            </w:r>
          </w:p>
        </w:tc>
        <w:tc>
          <w:tcPr>
            <w:tcW w:type="dxa" w:w="965"/>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19</w:t>
            </w:r>
          </w:p>
        </w:tc>
        <w:tc>
          <w:tcPr>
            <w:tcW w:type="dxa" w:w="720"/>
            <w:vAlign w:val="center"/>
            <w:tcBorders>
              <w:top w:val="single" w:sz="4" w:color="D9D9D9"/>
              <w:left w:val="single" w:sz="4" w:color="D9D9D9"/>
              <w:bottom w:val="single" w:sz="4" w:color="D9D9D9"/>
              <w:right w:val="single" w:sz="4" w:color="D9D9D9"/>
            </w:tcBorders>
            <w:shd w:fill="F6F7F8"/>
            <w:tcMar>
              <w:top w:w="70" w:type="dxa"/>
              <w:left w:w="70" w:type="dxa"/>
              <w:bottom w:w="70" w:type="dxa"/>
              <w:right w:w="70" w:type="dxa"/>
            </w:tcMar>
          </w:tcPr>
          <w:p>
            <w:pPr>
              <w:spacing w:after="20" w:line="240" w:lineRule="auto"/>
              <w:jc w:val="center"/>
            </w:pPr>
            <w:r>
              <w:rPr>
                <w:b w:val="0"/>
                <w:sz w:val="16"/>
              </w:rPr>
              <w:t>C</w:t>
            </w:r>
          </w:p>
        </w:tc>
      </w:tr>
    </w:tbl>
    <w:p/>
    <w:tbl>
      <w:tblPr>
        <w:tblW w:type="auto" w:w="0"/>
        <w:jc w:val="center"/>
        <w:tblLayout w:type="fixed"/>
        <w:tblLook w:firstColumn="1" w:firstRow="1" w:lastColumn="0" w:lastRow="0" w:noHBand="0" w:noVBand="1" w:val="04A0"/>
      </w:tblPr>
      <w:tblGrid>
        <w:gridCol w:w="2520"/>
        <w:gridCol w:w="2520"/>
        <w:gridCol w:w="2520"/>
        <w:gridCol w:w="2592"/>
      </w:tblGrid>
      <w:tr>
        <w:trPr>
          <w:cantSplit/>
          <w:tblHeader/>
        </w:trPr>
        <w:tc>
          <w:tcPr>
            <w:tcW w:type="dxa" w:w="252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pPr>
            <w:r>
              <w:rPr>
                <w:b/>
                <w:sz w:val="20"/>
              </w:rPr>
              <w:t>Store ID</w:t>
            </w:r>
          </w:p>
        </w:tc>
        <w:tc>
          <w:tcPr>
            <w:tcW w:type="dxa" w:w="252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Invalid load</w:t>
            </w:r>
          </w:p>
        </w:tc>
        <w:tc>
          <w:tcPr>
            <w:tcW w:type="dxa" w:w="2520"/>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Detection</w:t>
            </w:r>
          </w:p>
        </w:tc>
        <w:tc>
          <w:tcPr>
            <w:tcW w:type="dxa" w:w="2592"/>
            <w:vAlign w:val="center"/>
            <w:tcBorders>
              <w:top w:val="single" w:sz="4" w:color="D9D9D9"/>
              <w:left w:val="single" w:sz="4" w:color="D9D9D9"/>
              <w:bottom w:val="single" w:sz="4" w:color="D9D9D9"/>
              <w:right w:val="single" w:sz="4" w:color="D9D9D9"/>
            </w:tcBorders>
            <w:shd w:fill="E8EDF2"/>
            <w:tcMar>
              <w:top w:w="70" w:type="dxa"/>
              <w:left w:w="70" w:type="dxa"/>
              <w:bottom w:w="70" w:type="dxa"/>
              <w:right w:w="70" w:type="dxa"/>
            </w:tcMar>
          </w:tcPr>
          <w:p>
            <w:pPr>
              <w:spacing w:after="20" w:line="240" w:lineRule="auto"/>
              <w:jc w:val="center"/>
            </w:pPr>
            <w:r>
              <w:rPr>
                <w:b/>
                <w:sz w:val="20"/>
              </w:rPr>
              <w:t>Resume</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pPr>
            <w:r>
              <w:rPr>
                <w:b w:val="0"/>
                <w:sz w:val="20"/>
              </w:rPr>
              <w:t>2</w:t>
            </w:r>
          </w:p>
        </w:tc>
        <w:tc>
          <w:tcPr>
            <w:tcW w:type="dxa" w:w="25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3</w:t>
            </w:r>
          </w:p>
        </w:tc>
        <w:tc>
          <w:tcPr>
            <w:tcW w:type="dxa" w:w="252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7</w:t>
            </w:r>
          </w:p>
        </w:tc>
        <w:tc>
          <w:tcPr>
            <w:tcW w:type="dxa" w:w="259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20" w:line="240" w:lineRule="auto"/>
              <w:jc w:val="center"/>
            </w:pPr>
            <w:r>
              <w:rPr>
                <w:b w:val="0"/>
                <w:sz w:val="20"/>
              </w:rPr>
              <w:t>9</w:t>
            </w:r>
          </w:p>
        </w:tc>
      </w:tr>
    </w:tbl>
    <w:p/>
    <w:p>
      <w:r>
        <w:t>Integer EX latency 4 delays the store address until cycle 7. Memory latency 2 lets the original load read in cycles 3-4. The alias triggers replay at 7 and fetching resumes at 9. The run finishes in 19 cycles with F2 = 7, F4 = 14, and Mem[16] = 7. C means committed; X means squashed or an interrupted stage.</w:t>
      </w:r>
    </w:p>
    <w:p>
      <w:pPr>
        <w:pStyle w:val="Heading2"/>
      </w:pPr>
      <w:r>
        <w:t>Validation coverage</w:t>
      </w:r>
    </w:p>
    <w:p>
      <w:r>
        <w:t>All 67 test methods pass, including 80 seeded equivalence runs. Another 400 stress runs and all 36 terminating benchmark runs pass; four literal handout runs stop at the expected cycle limit. Independent interpreters check architectural state, and a separate checker verifies all 136 main timing rows. Full logs and traces accompany the code.</w:t>
      </w:r>
    </w:p>
    <w:p>
      <w:pPr>
        <w:pStyle w:val="Heading1"/>
        <w:pageBreakBefore/>
      </w:pPr>
      <w:r>
        <w:t>16 Running the submission and model limits</w:t>
      </w:r>
    </w:p>
    <w:p>
      <w:r>
        <w:t>The package requires Python 3.10 or newer and uses only the standard library for simulation and tests. Run these commands from the extracted Ahmed_Ahmed_Tomasulo directory.</w:t>
      </w:r>
    </w:p>
    <w:p>
      <w:pPr>
        <w:spacing w:after="120" w:line="240" w:lineRule="auto"/>
      </w:pPr>
      <w:r>
        <w:rPr>
          <w:rFonts w:ascii="DejaVu Sans Mono" w:hAnsi="DejaVu Sans Mono"/>
          <w:sz w:val="18"/>
        </w:rPr>
        <w:t>python3 code/main.py --input examples/assignment_demo.in</w:t>
        <w:br/>
        <w:t>python3 code/main.py --input examples/sample_case1.in --issue-width 4</w:t>
        <w:br/>
        <w:t>python3 -m unittest discover -s tests -v</w:t>
        <w:br/>
        <w:t>python3 tests/stress_equivalence.py</w:t>
        <w:br/>
        <w:t>python3 run_experiments.py</w:t>
      </w:r>
    </w:p>
    <w:p>
      <w:r>
        <w:t>For machine-readable output, add --json output.json or --trace-csv timings.csv. The terminal output contains the five-stage instruction table, status of squashed work, both register files, and nonzero memory. README.md explains the one-file format and all parameters.</w:t>
      </w:r>
    </w:p>
    <w:p>
      <w:pPr>
        <w:pStyle w:val="Heading2"/>
      </w:pPr>
      <w:r>
        <w:t>Model limits and explicit assumptions</w:t>
      </w:r>
    </w:p>
    <w:p>
      <w:r>
        <w:t>The benchmark configuration is the assignment machine. Optional parameters can widen CDB or commit bandwidth, add memory ports, disable prediction, or restrict execution order; these are extensions and are not used in the assignment result tables. Commit width one, cold not-taken prediction, tagged direct-mapped BTB replacement, end-EX training, oldest-ready scheduling, and memory replay at detection + 2 are documented choices where the handout leaves detail open.</w:t>
      </w:r>
    </w:p>
    <w:p>
      <w:r>
        <w:t>Floating-point register arithmetic uses Python binary64 values; memory transfers use IEEE binary32. The simulator does not model caches, interrupts, integer overflow flags, floating-point exception flags, NaN payloads, or a configurable floating-point rounding mode. Unaligned byte accesses are supported with little-endian storage. Known partial-overlap stores may delay a load until commit; exact-address forwarding still takes one cycle.</w:t>
      </w:r>
    </w:p>
    <w:p>
      <w:r>
        <w:t>No failing functional test remains in the submitted suite. Nonterminating programs stop at --max-cycles rather than producing a false final result. Out-of-range effective addresses raise an error only if the instruction reaches commit; wrong-path faults are safely discarded.</w:t>
      </w:r>
    </w:p>
    <w:p>
      <w:pPr>
        <w:pStyle w:val="Heading2"/>
      </w:pPr>
      <w:r>
        <w:t>Files and submission status</w:t>
      </w:r>
    </w:p>
    <w:p>
      <w:r>
        <w:t>The archive contains the revised code, combined-input test cases, README, generated results, automated tests, before-and-after patch, unchanged original source, and this report. The latest code and report are available in the GitHub repository below.</w:t>
      </w:r>
    </w:p>
    <w:p>
      <w:r>
        <w:t xml:space="preserve">GitHub repository: </w:t>
      </w:r>
      <w:hyperlink r:id="rId11">
        <w:r>
          <w:rPr>
            <w:color w:val="0563C1"/>
            <w:u w:val="single"/>
          </w:rPr>
          <w:t>https://github.com/ahmedshehata08-iss/tomasulo-simulator</w:t>
        </w:r>
      </w:hyperlink>
    </w:p>
    <w:p>
      <w:pPr>
        <w:pStyle w:val="Heading2"/>
      </w:pPr>
      <w:r>
        <w:t>Source material</w:t>
      </w:r>
    </w:p>
    <w:p>
      <w:r>
        <w:t>Programming assignment handout, programming-tomasulo.pdf, four physical pages: processor and LSQ rules on page 1; recovery, hardware, and ISA on page 2; input and output on page 3; tests and submission requirements on page 4. Sample_Tomasulo_Assignment_Report(2).pdf supplies the presentation reference and two instruction sequences. Original source: supplied tomasulo-python.zip, retained unchanged in original/tomasulo-python/.</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Ahmed Ahmed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Computer Architecture                         Tomasulo Programming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9" w:lineRule="auto"/>
      <w:outlineLvl w:val="0"/>
    </w:pPr>
    <w:rPr>
      <w:rFonts w:asciiTheme="majorHAnsi" w:eastAsiaTheme="majorEastAsia" w:hAnsiTheme="majorHAnsi" w:cstheme="majorBidi" w:ascii="Liberation Serif" w:hAnsi="Liberation Serif"/>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Liberation Serif" w:hAnsi="Liberation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Liberation Serif" w:hAnsi="Liberation Serif"/>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before="200"/>
      <w:contextualSpacing/>
    </w:pPr>
    <w:rPr>
      <w:rFonts w:asciiTheme="majorHAnsi" w:eastAsiaTheme="majorEastAsia" w:hAnsiTheme="majorHAnsi" w:cstheme="majorBidi" w:ascii="Liberation Serif" w:hAnsi="Liberation Serif"/>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Liberation Serif" w:hAnsi="Liberation Serif"/>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40"/>
    </w:pPr>
    <w:rPr>
      <w:rFonts w:ascii="Liberation Serif" w:hAnsi="Liberation Serif"/>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hmedshehata08-iss/tomasulo-simulator"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Tomasulo Simulator Assignment Report</dc:title>
  <dc:subject>Multiple issue implementation and testing</dc:subject>
  <dc:creator>Ahmed Ahmed</dc:creator>
  <cp:keywords/>
  <dc:description>generated by python-docx</dc:description>
  <cp:lastModifiedBy>Ahmed Ahmed</cp:lastModifiedBy>
  <cp:revision>1</cp:revision>
  <dcterms:created xsi:type="dcterms:W3CDTF">2013-12-23T23:15:00Z</dcterms:created>
  <dcterms:modified xsi:type="dcterms:W3CDTF">2013-12-23T23:15:00Z</dcterms:modified>
  <cp:category/>
</cp:coreProperties>
</file>