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40"/>
        </w:rPr>
        <w:t>HR Analytics: Job Change of Data Scientists</w:t>
      </w:r>
    </w:p>
    <w:p>
      <w:pPr>
        <w:spacing w:after="60"/>
        <w:jc w:val="center"/>
      </w:pPr>
      <w:r>
        <w:rPr>
          <w:color w:val="595959"/>
          <w:sz w:val="24"/>
        </w:rPr>
        <w:t>Predicting Candidate Job-Change Likelihood — Project Report</w:t>
      </w:r>
    </w:p>
    <w:p>
      <w:pPr>
        <w:spacing w:after="500"/>
        <w:jc w:val="center"/>
      </w:pPr>
      <w:r>
        <w:rPr>
          <w:i/>
          <w:color w:val="595959"/>
          <w:sz w:val="20"/>
        </w:rPr>
        <w:t>Binary Classification | Model Comparison | Candidate Ranking System</w:t>
      </w:r>
    </w:p>
    <w:p>
      <w:pPr>
        <w:spacing w:before="240" w:after="120"/>
      </w:pPr>
      <w:r>
        <w:rPr>
          <w:b/>
          <w:color w:val="1F3864"/>
          <w:sz w:val="32"/>
        </w:rPr>
        <w:t>1. Problem Statement</w:t>
      </w:r>
    </w:p>
    <w:p>
      <w:pPr>
        <w:spacing w:after="200"/>
      </w:pPr>
      <w:r>
        <w:rPr>
          <w:b w:val="0"/>
          <w:i w:val="0"/>
          <w:color w:val="000000"/>
          <w:sz w:val="22"/>
        </w:rPr>
        <w:t>A company runs free data-science training courses. Some trainees stay and take a job with the company (or remain engaged in the field); others use the training only as a stepping stone and are already looking to move elsewhere. Training every candidate is costly, so the company wants to identify — in advance — which candidates are likely to be looking for a new job, so that retention effort and hiring outreach can be focused on the right people instead of applied uniformly.</w:t>
      </w:r>
    </w:p>
    <w:p>
      <w:pPr>
        <w:spacing w:after="200"/>
      </w:pPr>
      <w:r>
        <w:rPr>
          <w:b w:val="0"/>
          <w:i w:val="0"/>
          <w:color w:val="000000"/>
          <w:sz w:val="22"/>
        </w:rPr>
        <w:t>This is framed as a binary classification problem: given a candidate's demographic, educational, and employment-history attributes, predict whether they will look for a new job (target = 1) or not (target = 0). Beyond a single yes/no prediction, the project also extends the model into a candidate ranking system that surfaces the Top 10 candidates most likely to be job-hunting, since an HR team with limited capacity needs a prioritized shortlist rather than a flat list of flagged rows.</w:t>
      </w:r>
    </w:p>
    <w:p>
      <w:pPr>
        <w:spacing w:before="240" w:after="120"/>
      </w:pPr>
      <w:r>
        <w:rPr>
          <w:b/>
          <w:color w:val="1F3864"/>
          <w:sz w:val="32"/>
        </w:rPr>
        <w:t>2. Dataset Description</w:t>
      </w:r>
    </w:p>
    <w:p>
      <w:pPr>
        <w:spacing w:after="200"/>
      </w:pPr>
      <w:r>
        <w:rPr>
          <w:b w:val="0"/>
          <w:i w:val="0"/>
          <w:color w:val="000000"/>
          <w:sz w:val="22"/>
        </w:rPr>
        <w:t>Source: HR Analytics — Job Change of Data Scientists (Kaggle).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0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534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Training rows</w:t>
            </w:r>
          </w:p>
        </w:tc>
        <w:tc>
          <w:tcPr>
            <w:tcW w:type="dxa" w:w="534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19,158</w:t>
            </w:r>
          </w:p>
        </w:tc>
      </w:tr>
      <w:tr>
        <w:tc>
          <w:tcPr>
            <w:tcW w:type="dxa" w:w="45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Training columns</w:t>
            </w:r>
          </w:p>
        </w:tc>
        <w:tc>
          <w:tcPr>
            <w:tcW w:type="dxa" w:w="534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14 (13 features + target)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Test rows (unlabeled)</w:t>
            </w:r>
          </w:p>
        </w:tc>
        <w:tc>
          <w:tcPr>
            <w:tcW w:type="dxa" w:w="534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2,129</w:t>
            </w:r>
          </w:p>
        </w:tc>
      </w:tr>
      <w:tr>
        <w:tc>
          <w:tcPr>
            <w:tcW w:type="dxa" w:w="45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Target</w:t>
            </w:r>
          </w:p>
        </w:tc>
        <w:tc>
          <w:tcPr>
            <w:tcW w:type="dxa" w:w="534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1 = looking for a new job, 0 = not looking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Class balance</w:t>
            </w:r>
          </w:p>
        </w:tc>
        <w:tc>
          <w:tcPr>
            <w:tcW w:type="dxa" w:w="534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75.1% class 0  /  24.9% class 1 (imbalanced)</w:t>
            </w:r>
          </w:p>
        </w:tc>
      </w:tr>
    </w:tbl>
    <w:p/>
    <w:p>
      <w:pPr>
        <w:spacing w:after="200"/>
      </w:pPr>
      <w:r>
        <w:rPr>
          <w:b/>
          <w:i w:val="0"/>
          <w:color w:val="000000"/>
          <w:sz w:val="22"/>
        </w:rPr>
        <w:t>Key data quality issues identified and handled:</w:t>
      </w:r>
    </w:p>
    <w:p>
      <w:pPr>
        <w:pStyle w:val="ListBullet"/>
        <w:spacing w:after="100"/>
      </w:pPr>
      <w:r>
        <w:rPr>
          <w:sz w:val="22"/>
        </w:rPr>
        <w:t>Missing values: up to 32% missing in company_type, company_size, gender, and major_discipline — handled by keeping missingness as its own category rather than imputing it away, since it carries real predictive signal.</w:t>
      </w:r>
    </w:p>
    <w:p>
      <w:pPr>
        <w:pStyle w:val="ListBullet"/>
        <w:spacing w:after="100"/>
      </w:pPr>
      <w:r>
        <w:rPr>
          <w:sz w:val="22"/>
        </w:rPr>
        <w:t>Disguised numeric text: experience ('&lt;1', '&gt;20') and last_new_job ('never', '&gt;4') stored as text — mapped to real integers.</w:t>
      </w:r>
    </w:p>
    <w:p>
      <w:pPr>
        <w:pStyle w:val="ListBullet"/>
        <w:spacing w:after="100"/>
      </w:pPr>
      <w:r>
        <w:rPr>
          <w:sz w:val="22"/>
        </w:rPr>
        <w:t>High-cardinality city column (123 unique values) — dropped in favor of the numeric city_development_index, which captures the same information more efficiently.</w:t>
      </w:r>
    </w:p>
    <w:p>
      <w:pPr>
        <w:pStyle w:val="ListBullet"/>
        <w:spacing w:after="100"/>
      </w:pPr>
      <w:r>
        <w:rPr>
          <w:sz w:val="22"/>
        </w:rPr>
        <w:t>enrollee_id — a unique identifier with no predictive value — dropped.</w:t>
      </w:r>
    </w:p>
    <w:p>
      <w:pPr>
        <w:pStyle w:val="ListBullet"/>
        <w:spacing w:after="100"/>
      </w:pPr>
      <w:r>
        <w:rPr>
          <w:sz w:val="22"/>
        </w:rPr>
        <w:t>Ordinal columns (education_level, company_size) — encoded preserving order; nominal columns (gender, relevent_experience, enrolled_university, major_discipline, company_type) — one-hot encoded.</w:t>
      </w:r>
    </w:p>
    <w:p>
      <w:pPr>
        <w:pStyle w:val="ListBullet"/>
        <w:spacing w:after="100"/>
      </w:pPr>
      <w:r>
        <w:rPr>
          <w:sz w:val="22"/>
        </w:rPr>
        <w:t>Engineered feature: a flag for candidates missing both company_type and company_size, found to correlate strongly with job-hunting likelihood (candidates missing both fields showed a 2x higher target rate than those with company info present).</w:t>
      </w:r>
    </w:p>
    <w:p>
      <w:pPr>
        <w:spacing w:before="240" w:after="120"/>
      </w:pPr>
      <w:r>
        <w:rPr>
          <w:b/>
          <w:color w:val="1F3864"/>
          <w:sz w:val="32"/>
        </w:rPr>
        <w:t>3. Methodology</w:t>
      </w:r>
    </w:p>
    <w:p>
      <w:pPr>
        <w:spacing w:after="200"/>
      </w:pPr>
      <w:r>
        <w:rPr>
          <w:b/>
          <w:i w:val="0"/>
          <w:color w:val="000000"/>
          <w:sz w:val="22"/>
        </w:rPr>
        <w:t>3.1 Preprocessing Pipeline</w:t>
      </w:r>
    </w:p>
    <w:p>
      <w:pPr>
        <w:spacing w:after="200"/>
      </w:pPr>
      <w:r>
        <w:rPr>
          <w:b w:val="0"/>
          <w:i w:val="0"/>
          <w:color w:val="000000"/>
          <w:sz w:val="22"/>
        </w:rPr>
        <w:t>Raw data was cleaned and encoded per the issues above, producing a fully numeric feature matrix with zero missing values. Features were split 80/20 into training and validation sets using a stratified split to preserve the 75/25 class balance in both partitions.</w:t>
      </w:r>
    </w:p>
    <w:p>
      <w:pPr>
        <w:spacing w:after="200"/>
      </w:pPr>
      <w:r>
        <w:rPr>
          <w:b/>
          <w:i w:val="0"/>
          <w:color w:val="000000"/>
          <w:sz w:val="22"/>
        </w:rPr>
        <w:t>3.2 Models Trained</w:t>
      </w:r>
    </w:p>
    <w:p>
      <w:pPr>
        <w:spacing w:after="200"/>
      </w:pPr>
      <w:r>
        <w:rPr>
          <w:b w:val="0"/>
          <w:i w:val="0"/>
          <w:color w:val="000000"/>
          <w:sz w:val="22"/>
        </w:rPr>
        <w:t>Five classification algorithms were trained and compared: Logistic Regression, K-Nearest Neighbors (KNN), Support Vector Machine (SVM), Random Forest, and XGBoost. Distance-based models (Logistic Regression, KNN, SVM) were trained on standardized (scaled) features; tree-based models (Random Forest, XGBoost) were trained on the raw feature values.</w:t>
      </w:r>
    </w:p>
    <w:p>
      <w:pPr>
        <w:spacing w:after="200"/>
      </w:pPr>
      <w:r>
        <w:rPr>
          <w:b/>
          <w:i w:val="0"/>
          <w:color w:val="000000"/>
          <w:sz w:val="22"/>
        </w:rPr>
        <w:t>3.3 Handling Class Imbalance</w:t>
      </w:r>
    </w:p>
    <w:p>
      <w:pPr>
        <w:spacing w:after="200"/>
      </w:pPr>
      <w:r>
        <w:rPr>
          <w:b w:val="0"/>
          <w:i w:val="0"/>
          <w:color w:val="000000"/>
          <w:sz w:val="22"/>
        </w:rPr>
        <w:t>Since the target is imbalanced (~75/25), class_weight='balanced' was applied to Logistic Regression, SVM, and Random Forest, and scale_pos_weight was applied to XGBoost, so the minority class (job-seekers) is not ignored by the models.</w:t>
      </w:r>
    </w:p>
    <w:p>
      <w:pPr>
        <w:spacing w:after="200"/>
      </w:pPr>
      <w:r>
        <w:rPr>
          <w:b/>
          <w:i w:val="0"/>
          <w:color w:val="000000"/>
          <w:sz w:val="22"/>
        </w:rPr>
        <w:t>3.4 Threshold Tuning</w:t>
      </w:r>
    </w:p>
    <w:p>
      <w:pPr>
        <w:spacing w:after="200"/>
      </w:pPr>
      <w:r>
        <w:rPr>
          <w:b w:val="0"/>
          <w:i w:val="0"/>
          <w:color w:val="000000"/>
          <w:sz w:val="22"/>
        </w:rPr>
        <w:t>Rather than using the default 0.5 decision threshold, every model was evaluated across 19 thresholds (0.05 to 0.95) and the threshold maximizing F1-score was selected per model. This matters because accuracy alone is misleading on imbalanced data — a model predicting the majority class for every row would still score roughly 75% accuracy while providing no real value.</w:t>
      </w:r>
    </w:p>
    <w:p>
      <w:pPr>
        <w:spacing w:after="200"/>
      </w:pPr>
      <w:r>
        <w:rPr>
          <w:b/>
          <w:i w:val="0"/>
          <w:color w:val="000000"/>
          <w:sz w:val="22"/>
        </w:rPr>
        <w:t>3.5 Evaluation Metric</w:t>
      </w:r>
    </w:p>
    <w:p>
      <w:pPr>
        <w:spacing w:after="200"/>
      </w:pPr>
      <w:r>
        <w:rPr>
          <w:b w:val="0"/>
          <w:i w:val="0"/>
          <w:color w:val="000000"/>
          <w:sz w:val="22"/>
        </w:rPr>
        <w:t>F1-score was used as the primary evaluation metric (the harmonic mean of precision and recall), since it balances catching true job-seekers (recall) against not over-flagging candidates who are staying (precision) — a more meaningful measure than raw accuracy for this imbalanced classification task.</w:t>
      </w:r>
    </w:p>
    <w:p>
      <w:pPr>
        <w:spacing w:before="240" w:after="120"/>
      </w:pPr>
      <w:r>
        <w:rPr>
          <w:b/>
          <w:color w:val="1F3864"/>
          <w:sz w:val="32"/>
        </w:rPr>
        <w:t>4. Results</w:t>
      </w:r>
    </w:p>
    <w:p>
      <w:pPr>
        <w:spacing w:after="200"/>
      </w:pPr>
      <w:r>
        <w:rPr>
          <w:b/>
          <w:i w:val="0"/>
          <w:color w:val="000000"/>
          <w:sz w:val="22"/>
        </w:rPr>
        <w:t>4.1 Model Comparison (best threshold per model)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48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8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8"/>
        </w:rPr>
        <w:t>Figure 1 — F1-score across 19 decision thresholds for each of the 5 models.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90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20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Best Threshold</w:t>
            </w:r>
          </w:p>
        </w:tc>
        <w:tc>
          <w:tcPr>
            <w:tcW w:type="dxa" w:w="210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264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</w:tr>
      <w:tr>
        <w:tc>
          <w:tcPr>
            <w:tcW w:type="dxa" w:w="29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XGBoost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0.50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0.6364</w:t>
            </w:r>
          </w:p>
        </w:tc>
        <w:tc>
          <w:tcPr>
            <w:tcW w:type="dxa" w:w="264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0.7868</w:t>
            </w:r>
          </w:p>
        </w:tc>
      </w:tr>
      <w:tr>
        <w:tc>
          <w:tcPr>
            <w:tcW w:type="dxa" w:w="29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SVM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0.35</w:t>
            </w:r>
          </w:p>
        </w:tc>
        <w:tc>
          <w:tcPr>
            <w:tcW w:type="dxa" w:w="21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0.6201</w:t>
            </w:r>
          </w:p>
        </w:tc>
        <w:tc>
          <w:tcPr>
            <w:tcW w:type="dxa" w:w="264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0.7672</w:t>
            </w:r>
          </w:p>
        </w:tc>
      </w:tr>
      <w:tr>
        <w:tc>
          <w:tcPr>
            <w:tcW w:type="dxa" w:w="29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Random Forest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0.30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0.6138</w:t>
            </w:r>
          </w:p>
        </w:tc>
        <w:tc>
          <w:tcPr>
            <w:tcW w:type="dxa" w:w="264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0.7714</w:t>
            </w:r>
          </w:p>
        </w:tc>
      </w:tr>
      <w:tr>
        <w:tc>
          <w:tcPr>
            <w:tcW w:type="dxa" w:w="29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Logistic Regression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0.55</w:t>
            </w:r>
          </w:p>
        </w:tc>
        <w:tc>
          <w:tcPr>
            <w:tcW w:type="dxa" w:w="21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0.6006</w:t>
            </w:r>
          </w:p>
        </w:tc>
        <w:tc>
          <w:tcPr>
            <w:tcW w:type="dxa" w:w="264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0.7539</w:t>
            </w:r>
          </w:p>
        </w:tc>
      </w:tr>
      <w:tr>
        <w:tc>
          <w:tcPr>
            <w:tcW w:type="dxa" w:w="29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KNN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0.5029</w:t>
            </w:r>
          </w:p>
        </w:tc>
        <w:tc>
          <w:tcPr>
            <w:tcW w:type="dxa" w:w="264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0.6203</w:t>
            </w:r>
          </w:p>
        </w:tc>
      </w:tr>
    </w:tbl>
    <w:p/>
    <w:p>
      <w:pPr>
        <w:spacing w:after="200"/>
      </w:pPr>
      <w:r>
        <w:rPr>
          <w:b/>
          <w:i w:val="0"/>
          <w:color w:val="000000"/>
          <w:sz w:val="22"/>
        </w:rPr>
        <w:t>4.2 Final Model Performance — XGBoost</w:t>
      </w:r>
    </w:p>
    <w:p>
      <w:pPr>
        <w:spacing w:after="200"/>
      </w:pPr>
      <w:r>
        <w:rPr>
          <w:b w:val="0"/>
          <w:i w:val="0"/>
          <w:color w:val="000000"/>
          <w:sz w:val="22"/>
        </w:rPr>
        <w:t>XGBoost was selected as the final model (threshold = 0.5, F1 = 0.6364).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200400" cy="37552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55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8"/>
        </w:rPr>
        <w:t>Figure 2 — Classification report and confusion matrix for the final XGBoost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210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210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210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94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 (Not looking)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0.91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0.80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0.85</w:t>
            </w:r>
          </w:p>
        </w:tc>
        <w:tc>
          <w:tcPr>
            <w:tcW w:type="dxa" w:w="194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2,877</w:t>
            </w:r>
          </w:p>
        </w:tc>
      </w:tr>
      <w:tr>
        <w:tc>
          <w:tcPr>
            <w:tcW w:type="dxa" w:w="26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1 (Looking)</w:t>
            </w:r>
          </w:p>
        </w:tc>
        <w:tc>
          <w:tcPr>
            <w:tcW w:type="dxa" w:w="21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0.55</w:t>
            </w:r>
          </w:p>
        </w:tc>
        <w:tc>
          <w:tcPr>
            <w:tcW w:type="dxa" w:w="21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type="dxa" w:w="21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0.64</w:t>
            </w:r>
          </w:p>
        </w:tc>
        <w:tc>
          <w:tcPr>
            <w:tcW w:type="dxa" w:w="194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955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0.79</w:t>
            </w:r>
          </w:p>
        </w:tc>
        <w:tc>
          <w:tcPr>
            <w:tcW w:type="dxa" w:w="194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3,832</w:t>
            </w:r>
          </w:p>
        </w:tc>
      </w:tr>
    </w:tbl>
    <w:p/>
    <w:p>
      <w:pPr>
        <w:spacing w:after="200"/>
      </w:pPr>
      <w:r>
        <w:rPr>
          <w:b w:val="0"/>
          <w:i w:val="0"/>
          <w:color w:val="000000"/>
          <w:sz w:val="22"/>
        </w:rPr>
        <w:t>The confusion matrix shows the model correctly identifies 715 of 955 actual job-seekers (recall = 0.75), at the cost of 577 false positives among candidates who were not actually looking. This trade-off reflects the threshold choice: prioritizing recall (catching more real job-seekers) is generally preferable for this business use case, since missing an actual job-seeker is more costly than a follow-up conversation with a candidate who was not actually job-hunting.</w:t>
      </w:r>
    </w:p>
    <w:p>
      <w:pPr>
        <w:spacing w:after="200"/>
      </w:pPr>
      <w:r>
        <w:rPr>
          <w:b/>
          <w:i w:val="0"/>
          <w:color w:val="000000"/>
          <w:sz w:val="22"/>
        </w:rPr>
        <w:t>4.3 Cross-Validation — F1 Reliability Check</w:t>
      </w:r>
    </w:p>
    <w:p>
      <w:pPr>
        <w:spacing w:after="200"/>
      </w:pPr>
      <w:r>
        <w:rPr>
          <w:b w:val="0"/>
          <w:i w:val="0"/>
          <w:color w:val="000000"/>
          <w:sz w:val="22"/>
        </w:rPr>
        <w:t>Since a single 80/20 split can over- or under-estimate performance, 5-fold stratified cross-validation was run on the XGBoost pipeline, retraining and re-tuning the threshold independently within each fold to avoid information leakage.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0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Fold</w:t>
            </w:r>
          </w:p>
        </w:tc>
        <w:tc>
          <w:tcPr>
            <w:tcW w:type="dxa" w:w="434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34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0.6118</w:t>
            </w:r>
          </w:p>
        </w:tc>
      </w:tr>
      <w:tr>
        <w:tc>
          <w:tcPr>
            <w:tcW w:type="dxa" w:w="45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434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0.6056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434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0.6207</w:t>
            </w:r>
          </w:p>
        </w:tc>
      </w:tr>
      <w:tr>
        <w:tc>
          <w:tcPr>
            <w:tcW w:type="dxa" w:w="45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434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0.6164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434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0.6087</w:t>
            </w:r>
          </w:p>
        </w:tc>
      </w:tr>
    </w:tbl>
    <w:p/>
    <w:p>
      <w:pPr>
        <w:spacing w:after="200"/>
      </w:pPr>
      <w:r>
        <w:rPr>
          <w:b w:val="0"/>
          <w:i w:val="0"/>
          <w:color w:val="000000"/>
          <w:sz w:val="22"/>
        </w:rPr>
        <w:t>Mean F1 across folds: 0.613 ± 0.005 (standard deviation).</w:t>
      </w:r>
    </w:p>
    <w:p>
      <w:pPr>
        <w:spacing w:after="200"/>
      </w:pPr>
      <w:r>
        <w:rPr>
          <w:b w:val="0"/>
          <w:i w:val="0"/>
          <w:color w:val="000000"/>
          <w:sz w:val="22"/>
        </w:rPr>
        <w:t>The low standard deviation indicates the model's performance is stable across different data splits — the cross-validated F1 (≈0.61) is the more defensible number to report, slightly below the single-split estimate of 0.636, which is the expected direction for a single favorable split.</w:t>
      </w:r>
    </w:p>
    <w:p>
      <w:pPr>
        <w:spacing w:after="200"/>
      </w:pPr>
      <w:r>
        <w:rPr>
          <w:b/>
          <w:i w:val="0"/>
          <w:color w:val="000000"/>
          <w:sz w:val="22"/>
        </w:rPr>
        <w:t>4.4 Candidate Ranking System (Top 10)</w:t>
      </w:r>
    </w:p>
    <w:p>
      <w:pPr>
        <w:spacing w:after="200"/>
      </w:pPr>
      <w:r>
        <w:rPr>
          <w:b w:val="0"/>
          <w:i w:val="0"/>
          <w:color w:val="000000"/>
          <w:sz w:val="22"/>
        </w:rPr>
        <w:t>Beyond a binary label, candidates were ranked by predicted probability rather than the thresholded class, surfacing the 10 candidates the model is most confident are job-hunting. Ranking quality was validated using Precision@k on the labeled validation set: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90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Precision@k</w:t>
            </w:r>
          </w:p>
        </w:tc>
        <w:tc>
          <w:tcPr>
            <w:tcW w:type="dxa" w:w="2940"/>
            <w:shd w:fill="1F386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Correct / k</w:t>
            </w:r>
          </w:p>
        </w:tc>
      </w:tr>
      <w:tr>
        <w:tc>
          <w:tcPr>
            <w:tcW w:type="dxa" w:w="29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0.60</w:t>
            </w:r>
          </w:p>
        </w:tc>
        <w:tc>
          <w:tcPr>
            <w:tcW w:type="dxa" w:w="294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6 / 10</w:t>
            </w:r>
          </w:p>
        </w:tc>
      </w:tr>
      <w:tr>
        <w:tc>
          <w:tcPr>
            <w:tcW w:type="dxa" w:w="29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30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0.60</w:t>
            </w:r>
          </w:p>
        </w:tc>
        <w:tc>
          <w:tcPr>
            <w:tcW w:type="dxa" w:w="294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12 / 20</w:t>
            </w:r>
          </w:p>
        </w:tc>
      </w:tr>
      <w:tr>
        <w:tc>
          <w:tcPr>
            <w:tcW w:type="dxa" w:w="29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0.66</w:t>
            </w:r>
          </w:p>
        </w:tc>
        <w:tc>
          <w:tcPr>
            <w:tcW w:type="dxa" w:w="2940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33 / 50</w:t>
            </w:r>
          </w:p>
        </w:tc>
      </w:tr>
      <w:tr>
        <w:tc>
          <w:tcPr>
            <w:tcW w:type="dxa" w:w="29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300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0.61</w:t>
            </w:r>
          </w:p>
        </w:tc>
        <w:tc>
          <w:tcPr>
            <w:tcW w:type="dxa" w:w="2940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61 / 100</w:t>
            </w:r>
          </w:p>
        </w:tc>
      </w:tr>
    </w:tbl>
    <w:p/>
    <w:p>
      <w:pPr>
        <w:spacing w:after="200"/>
      </w:pPr>
      <w:r>
        <w:rPr>
          <w:b w:val="0"/>
          <w:i w:val="0"/>
          <w:color w:val="000000"/>
          <w:sz w:val="22"/>
        </w:rPr>
        <w:t>Precision@k values of 0.60–0.66 are roughly 2.4–2.6x higher than the random-guessing baseline (~0.25, the overall job-seeker rate), confirming the ranking is genuinely informative rather than arbitrary.</w:t>
      </w:r>
    </w:p>
    <w:p>
      <w:pPr>
        <w:spacing w:before="240" w:after="120"/>
      </w:pPr>
      <w:r>
        <w:rPr>
          <w:b/>
          <w:color w:val="1F3864"/>
          <w:sz w:val="32"/>
        </w:rPr>
        <w:t>5. Conclusions</w:t>
      </w:r>
    </w:p>
    <w:p>
      <w:pPr>
        <w:pStyle w:val="ListBullet"/>
        <w:spacing w:after="100"/>
      </w:pPr>
      <w:r>
        <w:rPr>
          <w:sz w:val="22"/>
        </w:rPr>
        <w:t>XGBoost was the strongest of the five models tested, achieving the highest F1-score (0.636 on a single split; 0.613 ± 0.005 under 5-fold cross-validation) and the best ROC-AUC.</w:t>
      </w:r>
    </w:p>
    <w:p>
      <w:pPr>
        <w:pStyle w:val="ListBullet"/>
        <w:spacing w:after="100"/>
      </w:pPr>
      <w:r>
        <w:rPr>
          <w:sz w:val="22"/>
        </w:rPr>
        <w:t>Class imbalance handling (class_weight / scale_pos_weight) and per-model threshold tuning were both necessary — the default 0.5 threshold and unweighted classes would have produced a model with near-zero recall on the minority class, as observed in an early unweighted Logistic Regression baseline (F1 = 0.00 for class 1).</w:t>
      </w:r>
    </w:p>
    <w:p>
      <w:pPr>
        <w:pStyle w:val="ListBullet"/>
        <w:spacing w:after="100"/>
      </w:pPr>
      <w:r>
        <w:rPr>
          <w:sz w:val="22"/>
        </w:rPr>
        <w:t>An engineered feature capturing 'missing company information' proved to be a meaningful signal, consistent with the hypothesis that these candidates are not currently employed.</w:t>
      </w:r>
    </w:p>
    <w:p>
      <w:pPr>
        <w:pStyle w:val="ListBullet"/>
        <w:spacing w:after="100"/>
      </w:pPr>
      <w:r>
        <w:rPr>
          <w:sz w:val="22"/>
        </w:rPr>
        <w:t>A supplementary PyTorch neural network was tested and underperformed every classical model except KNN (F1 = 0.591) — expected on a tabular dataset of this size (~15K training rows), where gradient-boosted trees remain the stronger choice over deep learning.</w:t>
      </w:r>
    </w:p>
    <w:p>
      <w:pPr>
        <w:pStyle w:val="ListBullet"/>
        <w:spacing w:after="100"/>
      </w:pPr>
      <w:r>
        <w:rPr>
          <w:sz w:val="22"/>
        </w:rPr>
        <w:t>The candidate ranking system extends the binary classifier into a practical decision-support tool: rather than a flat list of flagged candidates, HR teams can act on a prioritized Top 10 (or Top-k) list, validated to be 2.4–2.6x more precise than random selection.</w:t>
      </w:r>
    </w:p>
    <w:p>
      <w:pPr>
        <w:pStyle w:val="ListBullet"/>
        <w:spacing w:after="100"/>
      </w:pPr>
      <w:r>
        <w:rPr>
          <w:sz w:val="22"/>
        </w:rPr>
        <w:t>Recommended next steps: hyperparameter tuning beyond the default XGBoost configuration, additional interaction features (e.g. experience × company_size), and periodic model refresh as new candidate cohorts are collected.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