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0B2545"/>
          <w:sz w:val="56"/>
          <w:szCs w:val="56"/>
        </w:rPr>
        <w:t xml:space="preserve">SUPER DRIVER</w:t>
      </w:r>
    </w:p>
    <w:p>
      <w:pPr>
        <w:bidi/>
        <w:spacing w:before="160"/>
        <w:jc w:val="center"/>
      </w:pPr>
      <w:r>
        <w:rPr>
          <w:color w:val="0E7C7B"/>
          <w:sz w:val="30"/>
          <w:szCs w:val="30"/>
          <w:rtl/>
        </w:rPr>
        <w:t xml:space="preserve">مستند المواصفات</w:t>
      </w:r>
    </w:p>
    <w:p>
      <w:pPr>
        <w:bidi/>
        <w:spacing w:before="100"/>
        <w:jc w:val="center"/>
      </w:pPr>
      <w:r>
        <w:rPr>
          <w:i/>
          <w:iCs/>
          <w:color w:val="6B7280"/>
          <w:sz w:val="20"/>
          <w:szCs w:val="20"/>
          <w:rtl/>
        </w:rPr>
        <w:t xml:space="preserve">المرحلة ١ — التخطيط  |  قالب المجلس الأعلى لبناء التطبيقات</w:t>
      </w:r>
    </w:p>
    <w:p>
      <w:pPr>
        <w:bidi/>
        <w:spacing w:before="400"/>
        <w:jc w:val="center"/>
      </w:pPr>
      <w:r>
        <w:rPr>
          <w:b/>
          <w:bCs/>
          <w:color w:val="C9A227"/>
          <w:sz w:val="18"/>
          <w:szCs w:val="18"/>
          <w:rtl/>
        </w:rPr>
        <w:t xml:space="preserve">النسخة ٢ — منقّحة بعد مراجعة أحمد النقدية</w:t>
      </w:r>
    </w:p>
    <w:p>
      <w:r>
        <w:br w:type="page"/>
      </w:r>
    </w:p>
    <w:p>
      <w:pPr>
        <w:pStyle w:val="Heading1"/>
        <w:pBdr>
          <w:bottom w:val="single" w:color="0E7C7B" w:sz="10" w:space="4"/>
        </w:pBdr>
        <w:bidi/>
        <w:spacing w:after="200" w:before="420"/>
        <w:jc w:val="right"/>
      </w:pPr>
      <w:r>
        <w:rPr>
          <w:b/>
          <w:bCs/>
          <w:color w:val="0B2545"/>
          <w:sz w:val="30"/>
          <w:szCs w:val="30"/>
          <w:rtl/>
        </w:rPr>
        <w:t xml:space="preserve">١. البيانات الأساسية</w:t>
      </w:r>
    </w:p>
    <w:tbl>
      <w:tblPr>
        <w:tblW w:type="dxa" w:w="9300"/>
        <w:tblBorders>
          <w:top w:val="single" w:color="D1D5DB" w:sz="4"/>
          <w:left w:val="single" w:color="D1D5DB" w:sz="4"/>
          <w:bottom w:val="single" w:color="D1D5DB" w:sz="4"/>
          <w:right w:val="single" w:color="D1D5DB" w:sz="4"/>
          <w:insideH w:val="single" w:color="E5E7EB" w:sz="4"/>
          <w:insideV w:val="single" w:color="E5E7EB" w:sz="4"/>
        </w:tblBorders>
      </w:tblPr>
      <w:tblGrid>
        <w:gridCol w:w="3100"/>
        <w:gridCol w:w="6200"/>
      </w:tblGrid>
      <w:tr>
        <w:tc>
          <w:tcPr>
            <w:tcMar>
              <w:top w:type="dxa" w:w="100"/>
              <w:left w:type="dxa" w:w="150"/>
              <w:bottom w:type="dxa" w:w="100"/>
              <w:right w:type="dxa" w:w="150"/>
            </w:tcMar>
          </w:tcPr>
          <w:p>
            <w:pPr>
              <w:bidi/>
              <w:jc w:val="right"/>
            </w:pPr>
            <w:r>
              <w:rPr>
                <w:b w:val="false"/>
                <w:bCs w:val="false"/>
                <w:color w:val="1F2937"/>
                <w:sz w:val="19"/>
                <w:szCs w:val="19"/>
                <w:rtl/>
              </w:rPr>
              <w:t xml:space="preserve">Super Driver</w:t>
            </w:r>
          </w:p>
        </w:tc>
        <w:tc>
          <w:tcPr>
            <w:tcMar>
              <w:top w:type="dxa" w:w="100"/>
              <w:left w:type="dxa" w:w="150"/>
              <w:bottom w:type="dxa" w:w="100"/>
              <w:right w:type="dxa" w:w="150"/>
            </w:tcMar>
          </w:tcPr>
          <w:p>
            <w:pPr>
              <w:bidi/>
              <w:jc w:val="right"/>
            </w:pPr>
            <w:r>
              <w:rPr>
                <w:b w:val="false"/>
                <w:bCs w:val="false"/>
                <w:color w:val="1F2937"/>
                <w:sz w:val="19"/>
                <w:szCs w:val="19"/>
                <w:rtl/>
              </w:rPr>
              <w:t xml:space="preserve">اسم التطبيق (مقترح)</w:t>
            </w:r>
          </w:p>
        </w:tc>
      </w:tr>
      <w:tr>
        <w:tc>
          <w:tcPr>
            <w:tcMar>
              <w:top w:type="dxa" w:w="100"/>
              <w:left w:type="dxa" w:w="150"/>
              <w:bottom w:type="dxa" w:w="100"/>
              <w:right w:type="dxa" w:w="150"/>
            </w:tcMar>
          </w:tcPr>
          <w:p>
            <w:pPr>
              <w:bidi/>
              <w:jc w:val="right"/>
            </w:pPr>
            <w:r>
              <w:rPr>
                <w:b w:val="false"/>
                <w:bCs w:val="false"/>
                <w:color w:val="1F2937"/>
                <w:sz w:val="19"/>
                <w:szCs w:val="19"/>
                <w:rtl/>
              </w:rPr>
              <w:t xml:space="preserve">Android (الإصدار الأول) — بدون iOS في النطاق الحالي</w:t>
            </w:r>
          </w:p>
        </w:tc>
        <w:tc>
          <w:tcPr>
            <w:tcMar>
              <w:top w:type="dxa" w:w="100"/>
              <w:left w:type="dxa" w:w="150"/>
              <w:bottom w:type="dxa" w:w="100"/>
              <w:right w:type="dxa" w:w="150"/>
            </w:tcMar>
          </w:tcPr>
          <w:p>
            <w:pPr>
              <w:bidi/>
              <w:jc w:val="right"/>
            </w:pPr>
            <w:r>
              <w:rPr>
                <w:b w:val="false"/>
                <w:bCs w:val="false"/>
                <w:color w:val="1F2937"/>
                <w:sz w:val="19"/>
                <w:szCs w:val="19"/>
                <w:rtl/>
              </w:rPr>
              <w:t xml:space="preserve">المنصة</w:t>
            </w:r>
          </w:p>
        </w:tc>
      </w:tr>
      <w:tr>
        <w:tc>
          <w:tcPr>
            <w:tcMar>
              <w:top w:type="dxa" w:w="100"/>
              <w:left w:type="dxa" w:w="150"/>
              <w:bottom w:type="dxa" w:w="100"/>
              <w:right w:type="dxa" w:w="150"/>
            </w:tcMar>
          </w:tcPr>
          <w:p>
            <w:pPr>
              <w:bidi/>
              <w:jc w:val="right"/>
            </w:pPr>
            <w:r>
              <w:rPr>
                <w:b w:val="false"/>
                <w:bCs w:val="false"/>
                <w:color w:val="1F2937"/>
                <w:sz w:val="19"/>
                <w:szCs w:val="19"/>
                <w:rtl/>
              </w:rPr>
              <w:t xml:space="preserve">سائقو أوبر في مصر (Uber Driver app — com.ubercab.driver)</w:t>
            </w:r>
          </w:p>
        </w:tc>
        <w:tc>
          <w:tcPr>
            <w:tcMar>
              <w:top w:type="dxa" w:w="100"/>
              <w:left w:type="dxa" w:w="150"/>
              <w:bottom w:type="dxa" w:w="100"/>
              <w:right w:type="dxa" w:w="150"/>
            </w:tcMar>
          </w:tcPr>
          <w:p>
            <w:pPr>
              <w:bidi/>
              <w:jc w:val="right"/>
            </w:pPr>
            <w:r>
              <w:rPr>
                <w:b w:val="false"/>
                <w:bCs w:val="false"/>
                <w:color w:val="1F2937"/>
                <w:sz w:val="19"/>
                <w:szCs w:val="19"/>
                <w:rtl/>
              </w:rPr>
              <w:t xml:space="preserve">المستخدم المستهدف</w:t>
            </w:r>
          </w:p>
        </w:tc>
      </w:tr>
      <w:tr>
        <w:tc>
          <w:tcPr>
            <w:tcMar>
              <w:top w:type="dxa" w:w="100"/>
              <w:left w:type="dxa" w:w="150"/>
              <w:bottom w:type="dxa" w:w="100"/>
              <w:right w:type="dxa" w:w="150"/>
            </w:tcMar>
          </w:tcPr>
          <w:p>
            <w:pPr>
              <w:bidi/>
              <w:jc w:val="right"/>
            </w:pPr>
            <w:r>
              <w:rPr>
                <w:b w:val="false"/>
                <w:bCs w:val="false"/>
                <w:color w:val="1F2937"/>
                <w:sz w:val="19"/>
                <w:szCs w:val="19"/>
                <w:rtl/>
              </w:rPr>
              <w:t xml:space="preserve">تجريبي مجاني محدود المدة ← اشتراك شهري / سنوي</w:t>
            </w:r>
          </w:p>
        </w:tc>
        <w:tc>
          <w:tcPr>
            <w:tcMar>
              <w:top w:type="dxa" w:w="100"/>
              <w:left w:type="dxa" w:w="150"/>
              <w:bottom w:type="dxa" w:w="100"/>
              <w:right w:type="dxa" w:w="150"/>
            </w:tcMar>
          </w:tcPr>
          <w:p>
            <w:pPr>
              <w:bidi/>
              <w:jc w:val="right"/>
            </w:pPr>
            <w:r>
              <w:rPr>
                <w:b w:val="false"/>
                <w:bCs w:val="false"/>
                <w:color w:val="1F2937"/>
                <w:sz w:val="19"/>
                <w:szCs w:val="19"/>
                <w:rtl/>
              </w:rPr>
              <w:t xml:space="preserve">نموذج العمل</w:t>
            </w:r>
          </w:p>
        </w:tc>
      </w:tr>
    </w:tbl>
    <w:p>
      <w:pPr>
        <w:pStyle w:val="Heading1"/>
        <w:pBdr>
          <w:bottom w:val="single" w:color="0E7C7B" w:sz="10" w:space="4"/>
        </w:pBdr>
        <w:bidi/>
        <w:spacing w:after="200" w:before="420"/>
        <w:jc w:val="right"/>
      </w:pPr>
      <w:r>
        <w:rPr>
          <w:b/>
          <w:bCs/>
          <w:color w:val="0B2545"/>
          <w:sz w:val="30"/>
          <w:szCs w:val="30"/>
          <w:rtl/>
        </w:rPr>
        <w:t xml:space="preserve">٢. المزايا الأساسية (مرتبة بالأولوية)</w:t>
      </w:r>
    </w:p>
    <w:p>
      <w:pPr>
        <w:pStyle w:val="Heading2"/>
        <w:bidi/>
        <w:spacing w:after="120" w:before="260"/>
        <w:jc w:val="right"/>
      </w:pPr>
      <w:r>
        <w:rPr>
          <w:b/>
          <w:bCs/>
          <w:color w:val="0E7C7B"/>
          <w:sz w:val="24"/>
          <w:szCs w:val="24"/>
          <w:rtl/>
        </w:rPr>
        <w:t xml:space="preserve">الإصدار الأول (MVP) — لازم تكون شغالة قبل الإطلاق</w:t>
      </w:r>
    </w:p>
    <w:p>
      <w:pPr>
        <w:bidi/>
        <w:spacing w:after="90" w:line="280"/>
        <w:ind w:right="400" w:hanging="400"/>
        <w:jc w:val="right"/>
      </w:pPr>
      <w:r>
        <w:rPr>
          <w:b/>
          <w:bCs/>
          <w:color w:val="0E7C7B"/>
          <w:sz w:val="21"/>
          <w:szCs w:val="21"/>
          <w:rtl/>
        </w:rPr>
        <w:t xml:space="preserve">١. </w:t>
      </w:r>
      <w:r>
        <w:rPr>
          <w:color w:val="1F2937"/>
          <w:sz w:val="21"/>
          <w:szCs w:val="21"/>
          <w:rtl/>
        </w:rPr>
        <w:t xml:space="preserve">قراءة لحظية لطلب الرحلة فور ظهوره على شاشة أوبر — عبر Accessibility Service، بدون أي تدخل من السائق.</w:t>
      </w:r>
    </w:p>
    <w:p>
      <w:pPr>
        <w:bidi/>
        <w:spacing w:after="90" w:line="280"/>
        <w:ind w:right="400" w:hanging="400"/>
        <w:jc w:val="right"/>
      </w:pPr>
      <w:r>
        <w:rPr>
          <w:b/>
          <w:bCs/>
          <w:color w:val="0E7C7B"/>
          <w:sz w:val="21"/>
          <w:szCs w:val="21"/>
          <w:rtl/>
        </w:rPr>
        <w:t xml:space="preserve">٢. </w:t>
      </w:r>
      <w:r>
        <w:rPr>
          <w:color w:val="1F2937"/>
          <w:sz w:val="21"/>
          <w:szCs w:val="21"/>
          <w:rtl/>
        </w:rPr>
        <w:t xml:space="preserve">استخراج ٣ قيم أساسية من النص المقروء: السعر الإجمالي، مسافة الالتقاط (بُعد السائق عن الراكب)، مسافة المشوار (الرحلة الفعلية).</w:t>
      </w:r>
    </w:p>
    <w:p>
      <w:pPr>
        <w:bidi/>
        <w:spacing w:after="90" w:line="280"/>
        <w:ind w:right="400" w:hanging="400"/>
        <w:jc w:val="right"/>
      </w:pPr>
      <w:r>
        <w:rPr>
          <w:b/>
          <w:bCs/>
          <w:color w:val="0E7C7B"/>
          <w:sz w:val="21"/>
          <w:szCs w:val="21"/>
          <w:rtl/>
        </w:rPr>
        <w:t xml:space="preserve">٣. </w:t>
      </w:r>
      <w:r>
        <w:rPr>
          <w:color w:val="1F2937"/>
          <w:sz w:val="21"/>
          <w:szCs w:val="21"/>
          <w:rtl/>
        </w:rPr>
        <w:t xml:space="preserve">حساب مزدوج لسعر الكيلومتر: سعر/كم للمشوار المدفوع فقط (السعر ÷ مسافة المشوار)، وسعر/كم شامل (السعر ÷ (مسافة الالتقاط + مسافة المشوار)).</w:t>
      </w:r>
    </w:p>
    <w:p>
      <w:pPr>
        <w:bidi/>
        <w:spacing w:after="90" w:line="280"/>
        <w:ind w:right="400" w:hanging="400"/>
        <w:jc w:val="right"/>
      </w:pPr>
      <w:r>
        <w:rPr>
          <w:b/>
          <w:bCs/>
          <w:color w:val="0E7C7B"/>
          <w:sz w:val="21"/>
          <w:szCs w:val="21"/>
          <w:rtl/>
        </w:rPr>
        <w:t xml:space="preserve">٤. </w:t>
      </w:r>
      <w:r>
        <w:rPr>
          <w:color w:val="1F2937"/>
          <w:sz w:val="21"/>
          <w:szCs w:val="21"/>
          <w:rtl/>
        </w:rPr>
        <w:t xml:space="preserve">دعم قراءة مزدوج اللغة (عربي / إنجليزي) — يتم تحديد اللغة تلقائياً من نص الشاشة نفسه، بدون إعداد يدوي من السائق.</w:t>
      </w:r>
    </w:p>
    <w:p>
      <w:pPr>
        <w:bidi/>
        <w:spacing w:after="90" w:line="280"/>
        <w:ind w:right="400" w:hanging="400"/>
        <w:jc w:val="right"/>
      </w:pPr>
      <w:r>
        <w:rPr>
          <w:b/>
          <w:bCs/>
          <w:color w:val="0E7C7B"/>
          <w:sz w:val="21"/>
          <w:szCs w:val="21"/>
          <w:rtl/>
        </w:rPr>
        <w:t xml:space="preserve">٥. </w:t>
      </w:r>
      <w:r>
        <w:rPr>
          <w:color w:val="1F2937"/>
          <w:sz w:val="21"/>
          <w:szCs w:val="21"/>
          <w:rtl/>
        </w:rPr>
        <w:t xml:space="preserve">نافذة عائمة (Floating Overlay) تعرض النتيجة بتلوين فوري: أخضر = مناسبة، أصفر = قريبة من المقبول، أحمر = غير مناسبة — حسب حدود يضبطها السائق بنفسه.</w:t>
      </w:r>
    </w:p>
    <w:p>
      <w:pPr>
        <w:bidi/>
        <w:spacing w:after="90" w:line="280"/>
        <w:ind w:right="400" w:hanging="400"/>
        <w:jc w:val="right"/>
      </w:pPr>
      <w:r>
        <w:rPr>
          <w:b/>
          <w:bCs/>
          <w:color w:val="0E7C7B"/>
          <w:sz w:val="21"/>
          <w:szCs w:val="21"/>
          <w:rtl/>
        </w:rPr>
        <w:t xml:space="preserve">٦. </w:t>
      </w:r>
      <w:r>
        <w:rPr>
          <w:color w:val="1F2937"/>
          <w:sz w:val="21"/>
          <w:szCs w:val="21"/>
          <w:rtl/>
        </w:rPr>
        <w:t xml:space="preserve">شاشة إعدادات بسيطة: يحدد فيها السائق الحد الأدنى المقبول لسعر الكيلومتر (مثال: لا تُعتبر الرحلة 'مناسبة' إلا إذا كان السعر ≥ X جنيه/كم).</w:t>
      </w:r>
    </w:p>
    <w:p>
      <w:pPr>
        <w:bidi/>
        <w:spacing w:after="90" w:line="280"/>
        <w:ind w:right="400" w:hanging="400"/>
        <w:jc w:val="right"/>
      </w:pPr>
      <w:r>
        <w:rPr>
          <w:b/>
          <w:bCs/>
          <w:color w:val="0E7C7B"/>
          <w:sz w:val="21"/>
          <w:szCs w:val="21"/>
          <w:rtl/>
        </w:rPr>
        <w:t xml:space="preserve">٧. </w:t>
      </w:r>
      <w:r>
        <w:rPr>
          <w:color w:val="1F2937"/>
          <w:sz w:val="21"/>
          <w:szCs w:val="21"/>
          <w:rtl/>
        </w:rPr>
        <w:t xml:space="preserve">نظام الفترة التجريبية + الاشتراك (شهري/سنوي) مع شاشة دفع تدعم أكتر من وسيلة دفع (تفاصيل في القسم ٣).</w:t>
      </w:r>
    </w:p>
    <w:p>
      <w:pPr>
        <w:bidi/>
        <w:spacing w:after="90" w:line="280"/>
        <w:ind w:right="400" w:hanging="400"/>
        <w:jc w:val="right"/>
      </w:pPr>
      <w:r>
        <w:rPr>
          <w:b/>
          <w:bCs/>
          <w:color w:val="0E7C7B"/>
          <w:sz w:val="21"/>
          <w:szCs w:val="21"/>
          <w:rtl/>
        </w:rPr>
        <w:t xml:space="preserve">٨. </w:t>
      </w:r>
      <w:r>
        <w:rPr>
          <w:color w:val="1F2937"/>
          <w:sz w:val="21"/>
          <w:szCs w:val="21"/>
          <w:rtl/>
        </w:rPr>
        <w:t xml:space="preserve">رحلة إعداد أولى (Onboarding) توضح للسائق خطوة بخطوة كيفية تفعيل صلاحية Accessibility وصلاحية 'العرض فوق التطبيقات الأخرى' — الاثنتان لازمتان لعمل التطبيق.</w:t>
      </w:r>
    </w:p>
    <w:p>
      <w:pPr>
        <w:pStyle w:val="Heading2"/>
        <w:bidi/>
        <w:spacing w:after="120" w:before="260"/>
        <w:jc w:val="right"/>
      </w:pPr>
      <w:r>
        <w:rPr>
          <w:b/>
          <w:bCs/>
          <w:color w:val="0E7C7B"/>
          <w:sz w:val="24"/>
          <w:szCs w:val="24"/>
          <w:rtl/>
        </w:rPr>
        <w:t xml:space="preserve">خارج نطاق الإصدار الأول (نُأجّلها لمراحل لاحقة)</w:t>
      </w:r>
    </w:p>
    <w:p>
      <w:pPr>
        <w:pStyle w:val="ListParagraph"/>
        <w:numPr>
          <w:ilvl w:val="0"/>
          <w:numId w:val="2"/>
        </w:numPr>
        <w:bidi/>
        <w:spacing w:after="70" w:line="280"/>
        <w:jc w:val="right"/>
      </w:pPr>
      <w:r>
        <w:rPr>
          <w:color w:val="1F2937"/>
          <w:sz w:val="21"/>
          <w:szCs w:val="21"/>
          <w:rtl/>
        </w:rPr>
        <w:t xml:space="preserve">نسخة iOS — تقنياً غير ممكنة بنفس الطريقة (iOS لا يسمح بـ Accessibility Service بنفس الصلاحيات).</w:t>
      </w:r>
    </w:p>
    <w:p>
      <w:pPr>
        <w:pStyle w:val="ListParagraph"/>
        <w:numPr>
          <w:ilvl w:val="0"/>
          <w:numId w:val="2"/>
        </w:numPr>
        <w:bidi/>
        <w:spacing w:after="70" w:line="280"/>
        <w:jc w:val="right"/>
      </w:pPr>
      <w:r>
        <w:rPr>
          <w:color w:val="1F2937"/>
          <w:sz w:val="21"/>
          <w:szCs w:val="21"/>
          <w:rtl/>
        </w:rPr>
        <w:t xml:space="preserve">سجل تحليلي طويل المدى للرحلات (تقارير أسبوعية/شهرية عن متوسط سعر الكيلومتر).</w:t>
      </w:r>
    </w:p>
    <w:p>
      <w:pPr>
        <w:pStyle w:val="ListParagraph"/>
        <w:numPr>
          <w:ilvl w:val="0"/>
          <w:numId w:val="2"/>
        </w:numPr>
        <w:bidi/>
        <w:spacing w:after="70" w:line="280"/>
        <w:jc w:val="right"/>
      </w:pPr>
      <w:r>
        <w:rPr>
          <w:color w:val="1F2937"/>
          <w:sz w:val="21"/>
          <w:szCs w:val="21"/>
          <w:rtl/>
        </w:rPr>
        <w:t xml:space="preserve">حساب 'صافي الربح' بعد خصم عمولة أوبر ومصاريف الوقود (فكرة من Z-Fare — تحتاج بيانات إضافية من السائق لسيارة بعينها).</w:t>
      </w:r>
    </w:p>
    <w:p>
      <w:pPr>
        <w:pStyle w:val="ListParagraph"/>
        <w:numPr>
          <w:ilvl w:val="0"/>
          <w:numId w:val="2"/>
        </w:numPr>
        <w:bidi/>
        <w:spacing w:after="70" w:line="280"/>
        <w:jc w:val="right"/>
      </w:pPr>
      <w:r>
        <w:rPr>
          <w:color w:val="1F2937"/>
          <w:sz w:val="21"/>
          <w:szCs w:val="21"/>
          <w:rtl/>
        </w:rPr>
        <w:t xml:space="preserve">دعم تطبيقات أخرى غير أوبر (كريم، إنديرايف...) — نفس الفكرة، لكن كل تطبيق محتاج تحليل بنية شاشة منفصل.</w:t>
      </w:r>
    </w:p>
    <w:p>
      <w:pPr>
        <w:pStyle w:val="ListParagraph"/>
        <w:numPr>
          <w:ilvl w:val="0"/>
          <w:numId w:val="2"/>
        </w:numPr>
        <w:bidi/>
        <w:spacing w:after="70" w:line="280"/>
        <w:jc w:val="right"/>
      </w:pPr>
      <w:r>
        <w:rPr>
          <w:color w:val="1F2937"/>
          <w:sz w:val="21"/>
          <w:szCs w:val="21"/>
          <w:rtl/>
        </w:rPr>
        <w:t xml:space="preserve">تقييم الراكب كعامل إضافي في قرار القبول.</w:t>
      </w:r>
    </w:p>
    <w:p>
      <w:pPr>
        <w:pStyle w:val="Heading1"/>
        <w:pBdr>
          <w:bottom w:val="single" w:color="0E7C7B" w:sz="10" w:space="4"/>
        </w:pBdr>
        <w:bidi/>
        <w:spacing w:after="200" w:before="420"/>
        <w:jc w:val="right"/>
      </w:pPr>
      <w:r>
        <w:rPr>
          <w:b/>
          <w:bCs/>
          <w:color w:val="0B2545"/>
          <w:sz w:val="30"/>
          <w:szCs w:val="30"/>
          <w:rtl/>
        </w:rPr>
        <w:t xml:space="preserve">٣. البنية التقنية</w:t>
      </w:r>
    </w:p>
    <w:p>
      <w:pPr>
        <w:pStyle w:val="Heading2"/>
        <w:bidi/>
        <w:spacing w:after="120" w:before="260"/>
        <w:jc w:val="right"/>
      </w:pPr>
      <w:r>
        <w:rPr>
          <w:b/>
          <w:bCs/>
          <w:color w:val="0E7C7B"/>
          <w:sz w:val="24"/>
          <w:szCs w:val="24"/>
          <w:rtl/>
        </w:rPr>
        <w:t xml:space="preserve">آلية القراءة (مُحسومة من مرحلة تحقّق الفكرة)</w:t>
      </w:r>
    </w:p>
    <w:p>
      <w:pPr>
        <w:pStyle w:val="ListParagraph"/>
        <w:numPr>
          <w:ilvl w:val="0"/>
          <w:numId w:val="2"/>
        </w:numPr>
        <w:bidi/>
        <w:spacing w:after="70" w:line="280"/>
        <w:jc w:val="right"/>
      </w:pPr>
      <w:r>
        <w:rPr>
          <w:b/>
          <w:bCs/>
          <w:color w:val="0B2545"/>
          <w:sz w:val="21"/>
          <w:szCs w:val="21"/>
          <w:rtl/>
        </w:rPr>
        <w:t xml:space="preserve">القناة الأساسية: </w:t>
      </w:r>
      <w:r>
        <w:rPr>
          <w:color w:val="1F2937"/>
          <w:sz w:val="21"/>
          <w:szCs w:val="21"/>
          <w:rtl/>
        </w:rPr>
        <w:t xml:space="preserve">AccessibilityService — يستمع لحدث TYPE_WINDOW_CONTENT_CHANGED / TYPE_WINDOW_STATE_CHANGED على حزمة com.ubercab.driver، ويقرأ شجرة الـ View مباشرة (AccessibilityNodeInfo).</w:t>
      </w:r>
    </w:p>
    <w:p>
      <w:pPr>
        <w:pStyle w:val="ListParagraph"/>
        <w:numPr>
          <w:ilvl w:val="0"/>
          <w:numId w:val="2"/>
        </w:numPr>
        <w:bidi/>
        <w:spacing w:after="70" w:line="280"/>
        <w:jc w:val="right"/>
      </w:pPr>
      <w:r>
        <w:rPr>
          <w:b/>
          <w:bCs/>
          <w:color w:val="0B2545"/>
          <w:sz w:val="21"/>
          <w:szCs w:val="21"/>
          <w:rtl/>
        </w:rPr>
        <w:t xml:space="preserve">خطة احتياط: </w:t>
      </w:r>
      <w:r>
        <w:rPr>
          <w:color w:val="1F2937"/>
          <w:sz w:val="21"/>
          <w:szCs w:val="21"/>
          <w:rtl/>
        </w:rPr>
        <w:t xml:space="preserve">لو جزء من الشاشة اتضح إنه مرسوم (Canvas/SurfaceView) ومش قابل للقراءة من شجرة الـ Accessibility — تفعيل مسار بديل عبر MediaProjection (screenshot) + ML Kit Text Recognition (OCR، يدعم العربي والإنجليزي ويعمل offline).</w:t>
      </w:r>
    </w:p>
    <w:p>
      <w:pPr>
        <w:pStyle w:val="ListParagraph"/>
        <w:numPr>
          <w:ilvl w:val="0"/>
          <w:numId w:val="2"/>
        </w:numPr>
        <w:bidi/>
        <w:spacing w:after="70" w:line="280"/>
        <w:jc w:val="right"/>
      </w:pPr>
      <w:r>
        <w:rPr>
          <w:b/>
          <w:bCs/>
          <w:color w:val="0B2545"/>
          <w:sz w:val="21"/>
          <w:szCs w:val="21"/>
          <w:rtl/>
        </w:rPr>
        <w:t xml:space="preserve">القرار العملي: </w:t>
      </w:r>
      <w:r>
        <w:rPr>
          <w:color w:val="1F2937"/>
          <w:sz w:val="21"/>
          <w:szCs w:val="21"/>
          <w:rtl/>
        </w:rPr>
        <w:t xml:space="preserve">أول مهمة فعلية في مرحلة الإنشاء هي فحص شاشة أوبر مصر الحقيقية بأداة Accessibility Scanner لتأكيد أي المسارين فعلاً مطلوب — القرار ده يحدد كمية العمل في باقي المرحلة.</w:t>
      </w:r>
    </w:p>
    <w:p>
      <w:pPr>
        <w:pStyle w:val="Heading2"/>
        <w:bidi/>
        <w:spacing w:after="120" w:before="260"/>
        <w:jc w:val="right"/>
      </w:pPr>
      <w:r>
        <w:rPr>
          <w:b/>
          <w:bCs/>
          <w:color w:val="0E7C7B"/>
          <w:sz w:val="24"/>
          <w:szCs w:val="24"/>
          <w:rtl/>
        </w:rPr>
        <w:t xml:space="preserve">محرك الاستخراج (Parser)</w:t>
      </w:r>
    </w:p>
    <w:p>
      <w:pPr>
        <w:bidi/>
        <w:spacing w:after="110" w:line="290"/>
        <w:jc w:val="right"/>
      </w:pPr>
      <w:r>
        <w:rPr>
          <w:color w:val="1F2937"/>
          <w:sz w:val="21"/>
          <w:szCs w:val="21"/>
          <w:rtl/>
        </w:rPr>
        <w:t xml:space="preserve">بناءً على تحليل الصور الحقيقية من شاشة أوبر مصر في مرحلة تحقّق الفكرة، البنية النصية للرحلة ثابتة نسبياً. الأنماط (patterns) المطلوب استخراجها:</w:t>
      </w:r>
    </w:p>
    <w:tbl>
      <w:tblPr>
        <w:tblW w:type="dxa" w:w="9300"/>
        <w:tblBorders>
          <w:top w:val="single" w:color="D1D5DB" w:sz="4"/>
          <w:left w:val="single" w:color="D1D5DB" w:sz="4"/>
          <w:bottom w:val="single" w:color="D1D5DB" w:sz="4"/>
          <w:right w:val="single" w:color="D1D5DB" w:sz="4"/>
          <w:insideH w:val="single" w:color="E5E7EB" w:sz="4"/>
          <w:insideV w:val="single" w:color="E5E7EB" w:sz="4"/>
        </w:tblBorders>
      </w:tblPr>
      <w:tblGrid>
        <w:gridCol w:w="2200"/>
        <w:gridCol w:w="7100"/>
      </w:tblGrid>
      <w:tr>
        <w:trPr>
          <w:tblHeader/>
        </w:trPr>
        <w:tc>
          <w:tcPr>
            <w:shd w:fill="0E7C7B" w:val="clear"/>
            <w:tcMar>
              <w:top w:type="dxa" w:w="100"/>
              <w:left w:type="dxa" w:w="150"/>
              <w:bottom w:type="dxa" w:w="100"/>
              <w:right w:type="dxa" w:w="150"/>
            </w:tcMar>
          </w:tcPr>
          <w:p>
            <w:pPr>
              <w:bidi/>
              <w:jc w:val="right"/>
            </w:pPr>
            <w:r>
              <w:rPr>
                <w:b/>
                <w:bCs/>
                <w:color w:val="FFFFFF"/>
                <w:sz w:val="19"/>
                <w:szCs w:val="19"/>
                <w:rtl/>
              </w:rPr>
              <w:t xml:space="preserve">مثال من الشاشة الحقيقية</w:t>
            </w:r>
          </w:p>
        </w:tc>
        <w:tc>
          <w:tcPr>
            <w:shd w:fill="0E7C7B" w:val="clear"/>
            <w:tcMar>
              <w:top w:type="dxa" w:w="100"/>
              <w:left w:type="dxa" w:w="150"/>
              <w:bottom w:type="dxa" w:w="100"/>
              <w:right w:type="dxa" w:w="150"/>
            </w:tcMar>
          </w:tcPr>
          <w:p>
            <w:pPr>
              <w:bidi/>
              <w:jc w:val="right"/>
            </w:pPr>
            <w:r>
              <w:rPr>
                <w:b/>
                <w:bCs/>
                <w:color w:val="FFFFFF"/>
                <w:sz w:val="19"/>
                <w:szCs w:val="19"/>
                <w:rtl/>
              </w:rPr>
              <w:t xml:space="preserve">الحقل</w:t>
            </w:r>
          </w:p>
        </w:tc>
      </w:tr>
      <w:tr>
        <w:tc>
          <w:tcPr>
            <w:tcMar>
              <w:top w:type="dxa" w:w="100"/>
              <w:left w:type="dxa" w:w="150"/>
              <w:bottom w:type="dxa" w:w="100"/>
              <w:right w:type="dxa" w:w="150"/>
            </w:tcMar>
          </w:tcPr>
          <w:p>
            <w:pPr>
              <w:bidi/>
              <w:jc w:val="right"/>
            </w:pPr>
            <w:r>
              <w:rPr>
                <w:b w:val="false"/>
                <w:bCs w:val="false"/>
                <w:color w:val="1F2937"/>
                <w:sz w:val="19"/>
                <w:szCs w:val="19"/>
                <w:rtl/>
              </w:rPr>
              <w:t xml:space="preserve">٣٦٠٫٢٣ ج.م.</w:t>
            </w:r>
          </w:p>
        </w:tc>
        <w:tc>
          <w:tcPr>
            <w:tcMar>
              <w:top w:type="dxa" w:w="100"/>
              <w:left w:type="dxa" w:w="150"/>
              <w:bottom w:type="dxa" w:w="100"/>
              <w:right w:type="dxa" w:w="150"/>
            </w:tcMar>
          </w:tcPr>
          <w:p>
            <w:pPr>
              <w:bidi/>
              <w:jc w:val="right"/>
            </w:pPr>
            <w:r>
              <w:rPr>
                <w:b w:val="false"/>
                <w:bCs w:val="false"/>
                <w:color w:val="1F2937"/>
                <w:sz w:val="19"/>
                <w:szCs w:val="19"/>
                <w:rtl/>
              </w:rPr>
              <w:t xml:space="preserve">السعر الإجمالي — أرقام هندية (Eastern Arabic numerals)، فاصلة عشرية، وحدة 'ج.م.'</w:t>
            </w:r>
          </w:p>
        </w:tc>
      </w:tr>
      <w:tr>
        <w:tc>
          <w:tcPr>
            <w:tcMar>
              <w:top w:type="dxa" w:w="100"/>
              <w:left w:type="dxa" w:w="150"/>
              <w:bottom w:type="dxa" w:w="100"/>
              <w:right w:type="dxa" w:w="150"/>
            </w:tcMar>
          </w:tcPr>
          <w:p>
            <w:pPr>
              <w:bidi/>
              <w:jc w:val="right"/>
            </w:pPr>
            <w:r>
              <w:rPr>
                <w:b w:val="false"/>
                <w:bCs w:val="false"/>
                <w:color w:val="1F2937"/>
                <w:sz w:val="19"/>
                <w:szCs w:val="19"/>
                <w:rtl/>
              </w:rPr>
              <w:t xml:space="preserve">على بُعد 11 د (5.0 كلم)</w:t>
            </w:r>
          </w:p>
        </w:tc>
        <w:tc>
          <w:tcPr>
            <w:tcMar>
              <w:top w:type="dxa" w:w="100"/>
              <w:left w:type="dxa" w:w="150"/>
              <w:bottom w:type="dxa" w:w="100"/>
              <w:right w:type="dxa" w:w="150"/>
            </w:tcMar>
          </w:tcPr>
          <w:p>
            <w:pPr>
              <w:bidi/>
              <w:jc w:val="right"/>
            </w:pPr>
            <w:r>
              <w:rPr>
                <w:b w:val="false"/>
                <w:bCs w:val="false"/>
                <w:color w:val="1F2937"/>
                <w:sz w:val="19"/>
                <w:szCs w:val="19"/>
                <w:rtl/>
              </w:rPr>
              <w:t xml:space="preserve">مسافة الالتقاط — أرقام إنجليزية، نمط: رقم + 'د' + قوس + رقم + 'كلم'</w:t>
            </w:r>
          </w:p>
        </w:tc>
      </w:tr>
      <w:tr>
        <w:tc>
          <w:tcPr>
            <w:tcMar>
              <w:top w:type="dxa" w:w="100"/>
              <w:left w:type="dxa" w:w="150"/>
              <w:bottom w:type="dxa" w:w="100"/>
              <w:right w:type="dxa" w:w="150"/>
            </w:tcMar>
          </w:tcPr>
          <w:p>
            <w:pPr>
              <w:bidi/>
              <w:jc w:val="right"/>
            </w:pPr>
            <w:r>
              <w:rPr>
                <w:b w:val="false"/>
                <w:bCs w:val="false"/>
                <w:color w:val="1F2937"/>
                <w:sz w:val="19"/>
                <w:szCs w:val="19"/>
                <w:rtl/>
              </w:rPr>
              <w:t xml:space="preserve">مشوار لمدة 42 د (لمسافة 43.3 كلم)</w:t>
            </w:r>
          </w:p>
        </w:tc>
        <w:tc>
          <w:tcPr>
            <w:tcMar>
              <w:top w:type="dxa" w:w="100"/>
              <w:left w:type="dxa" w:w="150"/>
              <w:bottom w:type="dxa" w:w="100"/>
              <w:right w:type="dxa" w:w="150"/>
            </w:tcMar>
          </w:tcPr>
          <w:p>
            <w:pPr>
              <w:bidi/>
              <w:jc w:val="right"/>
            </w:pPr>
            <w:r>
              <w:rPr>
                <w:b w:val="false"/>
                <w:bCs w:val="false"/>
                <w:color w:val="1F2937"/>
                <w:sz w:val="19"/>
                <w:szCs w:val="19"/>
                <w:rtl/>
              </w:rPr>
              <w:t xml:space="preserve">مسافة المشوار — نفس نمط الأرقام، كلمة مفتاحية 'مشوار'</w:t>
            </w:r>
          </w:p>
        </w:tc>
      </w:tr>
      <w:tr>
        <w:tc>
          <w:tcPr>
            <w:tcMar>
              <w:top w:type="dxa" w:w="100"/>
              <w:left w:type="dxa" w:w="150"/>
              <w:bottom w:type="dxa" w:w="100"/>
              <w:right w:type="dxa" w:w="150"/>
            </w:tcMar>
          </w:tcPr>
          <w:p>
            <w:pPr>
              <w:bidi/>
              <w:jc w:val="right"/>
            </w:pPr>
            <w:r>
              <w:rPr>
                <w:b w:val="false"/>
                <w:bCs w:val="false"/>
                <w:color w:val="1F2937"/>
                <w:sz w:val="19"/>
                <w:szCs w:val="19"/>
                <w:rtl/>
              </w:rPr>
              <w:t xml:space="preserve">+Boost 28٫02 ج.م.</w:t>
            </w:r>
          </w:p>
        </w:tc>
        <w:tc>
          <w:tcPr>
            <w:tcMar>
              <w:top w:type="dxa" w:w="100"/>
              <w:left w:type="dxa" w:w="150"/>
              <w:bottom w:type="dxa" w:w="100"/>
              <w:right w:type="dxa" w:w="150"/>
            </w:tcMar>
          </w:tcPr>
          <w:p>
            <w:pPr>
              <w:bidi/>
              <w:jc w:val="right"/>
            </w:pPr>
            <w:r>
              <w:rPr>
                <w:b w:val="false"/>
                <w:bCs w:val="false"/>
                <w:color w:val="1F2937"/>
                <w:sz w:val="19"/>
                <w:szCs w:val="19"/>
                <w:rtl/>
              </w:rPr>
              <w:t xml:space="preserve">عرض إضافي (اختياري) — لازم يُجمع على السعر الأساسي إن وُجد</w:t>
            </w:r>
          </w:p>
        </w:tc>
      </w:tr>
      <w:tr>
        <w:tc>
          <w:tcPr>
            <w:tcMar>
              <w:top w:type="dxa" w:w="100"/>
              <w:left w:type="dxa" w:w="150"/>
              <w:bottom w:type="dxa" w:w="100"/>
              <w:right w:type="dxa" w:w="150"/>
            </w:tcMar>
          </w:tcPr>
          <w:p>
            <w:pPr>
              <w:bidi/>
              <w:jc w:val="right"/>
            </w:pPr>
            <w:r>
              <w:rPr>
                <w:b w:val="false"/>
                <w:bCs w:val="false"/>
                <w:color w:val="1F2937"/>
                <w:sz w:val="19"/>
                <w:szCs w:val="19"/>
                <w:rtl/>
              </w:rPr>
              <w:t xml:space="preserve">أقل من دقيقة واحدة (0 كلم)</w:t>
            </w:r>
          </w:p>
        </w:tc>
        <w:tc>
          <w:tcPr>
            <w:tcMar>
              <w:top w:type="dxa" w:w="100"/>
              <w:left w:type="dxa" w:w="150"/>
              <w:bottom w:type="dxa" w:w="100"/>
              <w:right w:type="dxa" w:w="150"/>
            </w:tcMar>
          </w:tcPr>
          <w:p>
            <w:pPr>
              <w:bidi/>
              <w:jc w:val="right"/>
            </w:pPr>
            <w:r>
              <w:rPr>
                <w:b w:val="false"/>
                <w:bCs w:val="false"/>
                <w:color w:val="1F2937"/>
                <w:sz w:val="19"/>
                <w:szCs w:val="19"/>
                <w:rtl/>
              </w:rPr>
              <w:t xml:space="preserve">حالة خاصة — نص بدل رقم، يُعامل كـ 0</w:t>
            </w:r>
          </w:p>
        </w:tc>
      </w:tr>
    </w:tbl>
    <w:p>
      <w:pPr>
        <w:bidi/>
        <w:spacing w:after="110" w:line="290"/>
        <w:jc w:val="right"/>
      </w:pPr>
      <w:r>
        <w:rPr>
          <w:color w:val="1F2937"/>
          <w:sz w:val="21"/>
          <w:szCs w:val="21"/>
          <w:rtl/>
        </w:rPr>
        <w:t xml:space="preserve"/>
      </w:r>
    </w:p>
    <w:p>
      <w:pPr>
        <w:pStyle w:val="ListParagraph"/>
        <w:numPr>
          <w:ilvl w:val="0"/>
          <w:numId w:val="2"/>
        </w:numPr>
        <w:bidi/>
        <w:spacing w:after="70" w:line="280"/>
        <w:jc w:val="right"/>
      </w:pPr>
      <w:r>
        <w:rPr>
          <w:b/>
          <w:bCs/>
          <w:color w:val="0B2545"/>
          <w:sz w:val="21"/>
          <w:szCs w:val="21"/>
          <w:rtl/>
        </w:rPr>
        <w:t xml:space="preserve">قاعدة صارمة رقم ١: </w:t>
      </w:r>
      <w:r>
        <w:rPr>
          <w:color w:val="1F2937"/>
          <w:sz w:val="21"/>
          <w:szCs w:val="21"/>
          <w:rtl/>
        </w:rPr>
        <w:t xml:space="preserve">الأرقام تُقرأ وتُعرض كما وردت من الشاشة حرفياً — ممنوع أي 'تصحيح' أو تقدير إضافي (درس مستفاد من فحص مرجع DriverMetrics في مرحلة تحقّق الفكرة).</w:t>
      </w:r>
    </w:p>
    <w:p>
      <w:pPr>
        <w:pStyle w:val="ListParagraph"/>
        <w:numPr>
          <w:ilvl w:val="0"/>
          <w:numId w:val="2"/>
        </w:numPr>
        <w:bidi/>
        <w:spacing w:after="70" w:line="280"/>
        <w:jc w:val="right"/>
      </w:pPr>
      <w:r>
        <w:rPr>
          <w:b/>
          <w:bCs/>
          <w:color w:val="0B2545"/>
          <w:sz w:val="21"/>
          <w:szCs w:val="21"/>
          <w:rtl/>
        </w:rPr>
        <w:t xml:space="preserve">قاعدة صارمة رقم ٢: </w:t>
      </w:r>
      <w:r>
        <w:rPr>
          <w:color w:val="1F2937"/>
          <w:sz w:val="21"/>
          <w:szCs w:val="21"/>
          <w:rtl/>
        </w:rPr>
        <w:t xml:space="preserve">الـ Parser يدعم ٣ تنسيقات رقمية محتملة في نفس الشاشة: أرقام هندية (للسعر)، أرقام إنجليزية (للمسافة/الوقت)، وتبديل كامل لإنجليزي لو السائق غيّر لغة واجهة أوبر.</w:t>
      </w:r>
    </w:p>
    <w:p>
      <w:pPr>
        <w:pStyle w:val="ListParagraph"/>
        <w:numPr>
          <w:ilvl w:val="0"/>
          <w:numId w:val="2"/>
        </w:numPr>
        <w:bidi/>
        <w:spacing w:after="70" w:line="280"/>
        <w:jc w:val="right"/>
      </w:pPr>
      <w:r>
        <w:rPr>
          <w:b/>
          <w:bCs/>
          <w:color w:val="0B2545"/>
          <w:sz w:val="21"/>
          <w:szCs w:val="21"/>
          <w:rtl/>
        </w:rPr>
        <w:t xml:space="preserve">قاعدة صارمة رقم ٣: </w:t>
      </w:r>
      <w:r>
        <w:rPr>
          <w:color w:val="1F2937"/>
          <w:sz w:val="21"/>
          <w:szCs w:val="21"/>
          <w:rtl/>
        </w:rPr>
        <w:t xml:space="preserve">لازم تمييز شاشة طلب الرحلة الحقيقية عن شاشات أخرى داخل تطبيق أوبر (مثل شاشة إعدادات الخدمات) — بالتأكد من وجود زر 'تطابق' أو 'اقبل' في نفس اللحظة قبل محاولة القراءة.</w:t>
      </w:r>
    </w:p>
    <w:p>
      <w:pPr>
        <w:pStyle w:val="Heading2"/>
        <w:bidi/>
        <w:spacing w:after="120" w:before="260"/>
        <w:jc w:val="right"/>
      </w:pPr>
      <w:r>
        <w:rPr>
          <w:b/>
          <w:bCs/>
          <w:color w:val="0E7C7B"/>
          <w:sz w:val="24"/>
          <w:szCs w:val="24"/>
          <w:rtl/>
        </w:rPr>
        <w:t xml:space="preserve">قيد تصميم غير قابل للكسر: النافذة العائمة وزر القبول</w:t>
      </w:r>
    </w:p>
    <w:p>
      <w:pPr>
        <w:bidi/>
        <w:spacing w:after="110" w:line="290"/>
        <w:jc w:val="right"/>
      </w:pPr>
      <w:r>
        <w:rPr>
          <w:b/>
          <w:bCs/>
          <w:color w:val="B3261E"/>
          <w:sz w:val="21"/>
          <w:szCs w:val="21"/>
          <w:rtl/>
        </w:rPr>
        <w:t xml:space="preserve">هذا أهم تفصيلة UX في المشروع كله — لو النافذة العائمة غطّت زر 'اقبل' أو 'تطابق' في تطبيق أوبر، التطبيق يتحوّل من مساعد للسائق إلى عائق فعلي أمامه.</w:t>
      </w:r>
    </w:p>
    <w:p>
      <w:pPr>
        <w:pStyle w:val="ListParagraph"/>
        <w:numPr>
          <w:ilvl w:val="0"/>
          <w:numId w:val="2"/>
        </w:numPr>
        <w:bidi/>
        <w:spacing w:after="70" w:line="280"/>
        <w:jc w:val="right"/>
      </w:pPr>
      <w:r>
        <w:rPr>
          <w:b/>
          <w:bCs/>
          <w:color w:val="0B2545"/>
          <w:sz w:val="21"/>
          <w:szCs w:val="21"/>
          <w:rtl/>
        </w:rPr>
        <w:t xml:space="preserve">القاعدة: </w:t>
      </w:r>
      <w:r>
        <w:rPr>
          <w:color w:val="1F2937"/>
          <w:sz w:val="21"/>
          <w:szCs w:val="21"/>
          <w:rtl/>
        </w:rPr>
        <w:t xml:space="preserve">النافذة العائمة تُرسم إلزامياً في منطقة لا تتقاطع أبداً مع موقع زر القبول المعروف من تحليل الشاشات الحقيقية (أعلى الشاشة أو جانبها — بعيداً عن الشريط السفلي اللي فيه الزرار والسعر).</w:t>
      </w:r>
    </w:p>
    <w:p>
      <w:pPr>
        <w:pStyle w:val="ListParagraph"/>
        <w:numPr>
          <w:ilvl w:val="0"/>
          <w:numId w:val="2"/>
        </w:numPr>
        <w:bidi/>
        <w:spacing w:after="70" w:line="280"/>
        <w:jc w:val="right"/>
      </w:pPr>
      <w:r>
        <w:rPr>
          <w:b/>
          <w:bCs/>
          <w:color w:val="0B2545"/>
          <w:sz w:val="21"/>
          <w:szCs w:val="21"/>
          <w:rtl/>
        </w:rPr>
        <w:t xml:space="preserve">حجم مضبوط: </w:t>
      </w:r>
      <w:r>
        <w:rPr>
          <w:color w:val="1F2937"/>
          <w:sz w:val="21"/>
          <w:szCs w:val="21"/>
          <w:rtl/>
        </w:rPr>
        <w:t xml:space="preserve">النافذة صغيرة بما يكفي لعرض الرقم والتلوين فقط (سعر/كم + حالة اللون) — بدون أي تفاصيل إضافية تكبّر مساحتها فوق الشاشة.</w:t>
      </w:r>
    </w:p>
    <w:p>
      <w:pPr>
        <w:pStyle w:val="ListParagraph"/>
        <w:numPr>
          <w:ilvl w:val="0"/>
          <w:numId w:val="2"/>
        </w:numPr>
        <w:bidi/>
        <w:spacing w:after="70" w:line="280"/>
        <w:jc w:val="right"/>
      </w:pPr>
      <w:r>
        <w:rPr>
          <w:b/>
          <w:bCs/>
          <w:color w:val="0B2545"/>
          <w:sz w:val="21"/>
          <w:szCs w:val="21"/>
          <w:rtl/>
        </w:rPr>
        <w:t xml:space="preserve">قابلة للسحب يدوياً: </w:t>
      </w:r>
      <w:r>
        <w:rPr>
          <w:color w:val="1F2937"/>
          <w:sz w:val="21"/>
          <w:szCs w:val="21"/>
          <w:rtl/>
        </w:rPr>
        <w:t xml:space="preserve">السائق يقدر يسحبها لأي مكان لو حسّ إنها حاجبة أي جزء من الشاشة في جهازه بالذات (اختلاف أحجام الشاشات بين الأجهزة).</w:t>
      </w:r>
    </w:p>
    <w:p>
      <w:pPr>
        <w:pStyle w:val="ListParagraph"/>
        <w:numPr>
          <w:ilvl w:val="0"/>
          <w:numId w:val="2"/>
        </w:numPr>
        <w:bidi/>
        <w:spacing w:after="70" w:line="280"/>
        <w:jc w:val="right"/>
      </w:pPr>
      <w:r>
        <w:rPr>
          <w:b/>
          <w:bCs/>
          <w:color w:val="0B2545"/>
          <w:sz w:val="21"/>
          <w:szCs w:val="21"/>
          <w:rtl/>
        </w:rPr>
        <w:t xml:space="preserve">خطوة إلزامية في الإعداد: </w:t>
      </w:r>
      <w:r>
        <w:rPr>
          <w:color w:val="1F2937"/>
          <w:sz w:val="21"/>
          <w:szCs w:val="21"/>
          <w:rtl/>
        </w:rPr>
        <w:t xml:space="preserve">صلاحية 'العرض فوق التطبيقات الأخرى' (SYSTEM_ALERT_WINDOW) لا يمكن منحها تلقائياً — Android يتطلب موافقة يدوية من المستخدم من شاشة إعدادات النظام. رحلة الإعداد (Onboarding) لازم تتضمن شرح مصوّر خطوة بخطوة لمكان هذا الإعداد بالتحديد، لأن أغلب المستخدمين لا يعرفون مكانه.</w:t>
      </w:r>
    </w:p>
    <w:p>
      <w:pPr>
        <w:pStyle w:val="Heading2"/>
        <w:bidi/>
        <w:spacing w:after="120" w:before="260"/>
        <w:jc w:val="right"/>
      </w:pPr>
      <w:r>
        <w:rPr>
          <w:b/>
          <w:bCs/>
          <w:color w:val="0E7C7B"/>
          <w:sz w:val="24"/>
          <w:szCs w:val="24"/>
          <w:rtl/>
        </w:rPr>
        <w:t xml:space="preserve">معمارية التطبيق (مقترحة)</w:t>
      </w:r>
    </w:p>
    <w:tbl>
      <w:tblPr>
        <w:tblW w:type="dxa" w:w="9300"/>
        <w:tblBorders>
          <w:top w:val="single" w:color="D1D5DB" w:sz="4"/>
          <w:left w:val="single" w:color="D1D5DB" w:sz="4"/>
          <w:bottom w:val="single" w:color="D1D5DB" w:sz="4"/>
          <w:right w:val="single" w:color="D1D5DB" w:sz="4"/>
          <w:insideH w:val="single" w:color="E5E7EB" w:sz="4"/>
          <w:insideV w:val="single" w:color="E5E7EB" w:sz="4"/>
        </w:tblBorders>
      </w:tblPr>
      <w:tblGrid>
        <w:gridCol w:w="3100"/>
        <w:gridCol w:w="6200"/>
      </w:tblGrid>
      <w:tr>
        <w:trPr>
          <w:tblHeader/>
        </w:trPr>
        <w:tc>
          <w:tcPr>
            <w:shd w:fill="0B2545" w:val="clear"/>
            <w:tcMar>
              <w:top w:type="dxa" w:w="100"/>
              <w:left w:type="dxa" w:w="150"/>
              <w:bottom w:type="dxa" w:w="100"/>
              <w:right w:type="dxa" w:w="150"/>
            </w:tcMar>
          </w:tcPr>
          <w:p>
            <w:pPr>
              <w:bidi/>
              <w:jc w:val="right"/>
            </w:pPr>
            <w:r>
              <w:rPr>
                <w:b/>
                <w:bCs/>
                <w:color w:val="FFFFFF"/>
                <w:sz w:val="19"/>
                <w:szCs w:val="19"/>
                <w:rtl/>
              </w:rPr>
              <w:t xml:space="preserve">التفاصيل</w:t>
            </w:r>
          </w:p>
        </w:tc>
        <w:tc>
          <w:tcPr>
            <w:shd w:fill="0B2545" w:val="clear"/>
            <w:tcMar>
              <w:top w:type="dxa" w:w="100"/>
              <w:left w:type="dxa" w:w="150"/>
              <w:bottom w:type="dxa" w:w="100"/>
              <w:right w:type="dxa" w:w="150"/>
            </w:tcMar>
          </w:tcPr>
          <w:p>
            <w:pPr>
              <w:bidi/>
              <w:jc w:val="right"/>
            </w:pPr>
            <w:r>
              <w:rPr>
                <w:b/>
                <w:bCs/>
                <w:color w:val="FFFFFF"/>
                <w:sz w:val="19"/>
                <w:szCs w:val="19"/>
                <w:rtl/>
              </w:rPr>
              <w:t xml:space="preserve">الطبقة</w:t>
            </w:r>
          </w:p>
        </w:tc>
      </w:tr>
      <w:tr>
        <w:tc>
          <w:tcPr>
            <w:tcMar>
              <w:top w:type="dxa" w:w="100"/>
              <w:left w:type="dxa" w:w="150"/>
              <w:bottom w:type="dxa" w:w="100"/>
              <w:right w:type="dxa" w:w="150"/>
            </w:tcMar>
          </w:tcPr>
          <w:p>
            <w:pPr>
              <w:bidi/>
              <w:jc w:val="right"/>
            </w:pPr>
            <w:r>
              <w:rPr>
                <w:b w:val="false"/>
                <w:bCs w:val="false"/>
                <w:color w:val="1F2937"/>
                <w:sz w:val="19"/>
                <w:szCs w:val="19"/>
                <w:rtl/>
              </w:rPr>
              <w:t xml:space="preserve">Kotlin — اللغة الرسمية الموصى بها من Google لتطبيقات Android الحديثة</w:t>
            </w:r>
          </w:p>
        </w:tc>
        <w:tc>
          <w:tcPr>
            <w:tcMar>
              <w:top w:type="dxa" w:w="100"/>
              <w:left w:type="dxa" w:w="150"/>
              <w:bottom w:type="dxa" w:w="100"/>
              <w:right w:type="dxa" w:w="150"/>
            </w:tcMar>
          </w:tcPr>
          <w:p>
            <w:pPr>
              <w:bidi/>
              <w:jc w:val="right"/>
            </w:pPr>
            <w:r>
              <w:rPr>
                <w:b w:val="false"/>
                <w:bCs w:val="false"/>
                <w:color w:val="1F2937"/>
                <w:sz w:val="19"/>
                <w:szCs w:val="19"/>
                <w:rtl/>
              </w:rPr>
              <w:t xml:space="preserve">لغة البرمجة</w:t>
            </w:r>
          </w:p>
        </w:tc>
      </w:tr>
      <w:tr>
        <w:tc>
          <w:tcPr>
            <w:tcMar>
              <w:top w:type="dxa" w:w="100"/>
              <w:left w:type="dxa" w:w="150"/>
              <w:bottom w:type="dxa" w:w="100"/>
              <w:right w:type="dxa" w:w="150"/>
            </w:tcMar>
          </w:tcPr>
          <w:p>
            <w:pPr>
              <w:bidi/>
              <w:jc w:val="right"/>
            </w:pPr>
            <w:r>
              <w:rPr>
                <w:b w:val="false"/>
                <w:bCs w:val="false"/>
                <w:color w:val="1F2937"/>
                <w:sz w:val="19"/>
                <w:szCs w:val="19"/>
                <w:rtl/>
              </w:rPr>
              <w:t xml:space="preserve">AccessibilityService (خدمة خلفية دائمة) + WindowManager لعرض الـ Overlay</w:t>
            </w:r>
          </w:p>
        </w:tc>
        <w:tc>
          <w:tcPr>
            <w:tcMar>
              <w:top w:type="dxa" w:w="100"/>
              <w:left w:type="dxa" w:w="150"/>
              <w:bottom w:type="dxa" w:w="100"/>
              <w:right w:type="dxa" w:w="150"/>
            </w:tcMar>
          </w:tcPr>
          <w:p>
            <w:pPr>
              <w:bidi/>
              <w:jc w:val="right"/>
            </w:pPr>
            <w:r>
              <w:rPr>
                <w:b w:val="false"/>
                <w:bCs w:val="false"/>
                <w:color w:val="1F2937"/>
                <w:sz w:val="19"/>
                <w:szCs w:val="19"/>
                <w:rtl/>
              </w:rPr>
              <w:t xml:space="preserve">الطبقة الأساسية</w:t>
            </w:r>
          </w:p>
        </w:tc>
      </w:tr>
      <w:tr>
        <w:tc>
          <w:tcPr>
            <w:tcMar>
              <w:top w:type="dxa" w:w="100"/>
              <w:left w:type="dxa" w:w="150"/>
              <w:bottom w:type="dxa" w:w="100"/>
              <w:right w:type="dxa" w:w="150"/>
            </w:tcMar>
          </w:tcPr>
          <w:p>
            <w:pPr>
              <w:bidi/>
              <w:jc w:val="right"/>
            </w:pPr>
            <w:r>
              <w:rPr>
                <w:b w:val="false"/>
                <w:bCs w:val="false"/>
                <w:color w:val="1F2937"/>
                <w:sz w:val="19"/>
                <w:szCs w:val="19"/>
                <w:rtl/>
              </w:rPr>
              <w:t xml:space="preserve">Room (SQLite محلي) — لتخزين الإعدادات وسجل الرحلات المعروضة محلياً فقط</w:t>
            </w:r>
          </w:p>
        </w:tc>
        <w:tc>
          <w:tcPr>
            <w:tcMar>
              <w:top w:type="dxa" w:w="100"/>
              <w:left w:type="dxa" w:w="150"/>
              <w:bottom w:type="dxa" w:w="100"/>
              <w:right w:type="dxa" w:w="150"/>
            </w:tcMar>
          </w:tcPr>
          <w:p>
            <w:pPr>
              <w:bidi/>
              <w:jc w:val="right"/>
            </w:pPr>
            <w:r>
              <w:rPr>
                <w:b w:val="false"/>
                <w:bCs w:val="false"/>
                <w:color w:val="1F2937"/>
                <w:sz w:val="19"/>
                <w:szCs w:val="19"/>
                <w:rtl/>
              </w:rPr>
              <w:t xml:space="preserve">قاعدة البيانات المحلية</w:t>
            </w:r>
          </w:p>
        </w:tc>
      </w:tr>
      <w:tr>
        <w:tc>
          <w:tcPr>
            <w:tcMar>
              <w:top w:type="dxa" w:w="100"/>
              <w:left w:type="dxa" w:w="150"/>
              <w:bottom w:type="dxa" w:w="100"/>
              <w:right w:type="dxa" w:w="150"/>
            </w:tcMar>
          </w:tcPr>
          <w:p>
            <w:pPr>
              <w:bidi/>
              <w:jc w:val="right"/>
            </w:pPr>
            <w:r>
              <w:rPr>
                <w:b w:val="false"/>
                <w:bCs w:val="false"/>
                <w:color w:val="1F2937"/>
                <w:sz w:val="19"/>
                <w:szCs w:val="19"/>
                <w:rtl/>
              </w:rPr>
              <w:t xml:space="preserve">Supabase — مصادقة المستخدم (Auth)، قاعدة بيانات الاشتراكات، والتحقق Server-side (تفاصيل بالأسفل)</w:t>
            </w:r>
          </w:p>
        </w:tc>
        <w:tc>
          <w:tcPr>
            <w:tcMar>
              <w:top w:type="dxa" w:w="100"/>
              <w:left w:type="dxa" w:w="150"/>
              <w:bottom w:type="dxa" w:w="100"/>
              <w:right w:type="dxa" w:w="150"/>
            </w:tcMar>
          </w:tcPr>
          <w:p>
            <w:pPr>
              <w:bidi/>
              <w:jc w:val="right"/>
            </w:pPr>
            <w:r>
              <w:rPr>
                <w:b w:val="false"/>
                <w:bCs w:val="false"/>
                <w:color w:val="1F2937"/>
                <w:sz w:val="19"/>
                <w:szCs w:val="19"/>
                <w:rtl/>
              </w:rPr>
              <w:t xml:space="preserve">الخلفية (Backend)</w:t>
            </w:r>
          </w:p>
        </w:tc>
      </w:tr>
      <w:tr>
        <w:tc>
          <w:tcPr>
            <w:tcMar>
              <w:top w:type="dxa" w:w="100"/>
              <w:left w:type="dxa" w:w="150"/>
              <w:bottom w:type="dxa" w:w="100"/>
              <w:right w:type="dxa" w:w="150"/>
            </w:tcMar>
          </w:tcPr>
          <w:p>
            <w:pPr>
              <w:bidi/>
              <w:jc w:val="right"/>
            </w:pPr>
            <w:r>
              <w:rPr>
                <w:b w:val="false"/>
                <w:bCs w:val="false"/>
                <w:color w:val="1F2937"/>
                <w:sz w:val="19"/>
                <w:szCs w:val="19"/>
                <w:rtl/>
              </w:rPr>
              <w:t xml:space="preserve">نظام دفع متعدد الوسائل — تفاصيل كاملة في القسم التالي مباشرة</w:t>
            </w:r>
          </w:p>
        </w:tc>
        <w:tc>
          <w:tcPr>
            <w:tcMar>
              <w:top w:type="dxa" w:w="100"/>
              <w:left w:type="dxa" w:w="150"/>
              <w:bottom w:type="dxa" w:w="100"/>
              <w:right w:type="dxa" w:w="150"/>
            </w:tcMar>
          </w:tcPr>
          <w:p>
            <w:pPr>
              <w:bidi/>
              <w:jc w:val="right"/>
            </w:pPr>
            <w:r>
              <w:rPr>
                <w:b w:val="false"/>
                <w:bCs w:val="false"/>
                <w:color w:val="1F2937"/>
                <w:sz w:val="19"/>
                <w:szCs w:val="19"/>
                <w:rtl/>
              </w:rPr>
              <w:t xml:space="preserve">نظام الدفع</w:t>
            </w:r>
          </w:p>
        </w:tc>
      </w:tr>
      <w:tr>
        <w:tc>
          <w:tcPr>
            <w:tcMar>
              <w:top w:type="dxa" w:w="100"/>
              <w:left w:type="dxa" w:w="150"/>
              <w:bottom w:type="dxa" w:w="100"/>
              <w:right w:type="dxa" w:w="150"/>
            </w:tcMar>
          </w:tcPr>
          <w:p>
            <w:pPr>
              <w:bidi/>
              <w:jc w:val="right"/>
            </w:pPr>
            <w:r>
              <w:rPr>
                <w:b w:val="false"/>
                <w:bCs w:val="false"/>
                <w:color w:val="1F2937"/>
                <w:sz w:val="19"/>
                <w:szCs w:val="19"/>
                <w:rtl/>
              </w:rPr>
              <w:t xml:space="preserve">ML Kit Text Recognition (على الجهاز، بدون إنترنت) — للمسار الاحتياطي فقط</w:t>
            </w:r>
          </w:p>
        </w:tc>
        <w:tc>
          <w:tcPr>
            <w:tcMar>
              <w:top w:type="dxa" w:w="100"/>
              <w:left w:type="dxa" w:w="150"/>
              <w:bottom w:type="dxa" w:w="100"/>
              <w:right w:type="dxa" w:w="150"/>
            </w:tcMar>
          </w:tcPr>
          <w:p>
            <w:pPr>
              <w:bidi/>
              <w:jc w:val="right"/>
            </w:pPr>
            <w:r>
              <w:rPr>
                <w:b w:val="false"/>
                <w:bCs w:val="false"/>
                <w:color w:val="1F2937"/>
                <w:sz w:val="19"/>
                <w:szCs w:val="19"/>
                <w:rtl/>
              </w:rPr>
              <w:t xml:space="preserve">OCR (احتياطي)</w:t>
            </w:r>
          </w:p>
        </w:tc>
      </w:tr>
    </w:tbl>
    <w:p>
      <w:pPr>
        <w:pStyle w:val="Heading2"/>
        <w:bidi/>
        <w:spacing w:after="120" w:before="260"/>
        <w:jc w:val="right"/>
      </w:pPr>
      <w:r>
        <w:rPr>
          <w:b/>
          <w:bCs/>
          <w:color w:val="0E7C7B"/>
          <w:sz w:val="24"/>
          <w:szCs w:val="24"/>
          <w:rtl/>
        </w:rPr>
        <w:t xml:space="preserve">نظام الدفع — مُعاد تصميمه ليعمل بغض النظر عن قناة التوزيع</w:t>
      </w:r>
    </w:p>
    <w:p>
      <w:pPr>
        <w:bidi/>
        <w:spacing w:after="110" w:line="290"/>
        <w:jc w:val="right"/>
      </w:pPr>
      <w:r>
        <w:rPr>
          <w:color w:val="1F2937"/>
          <w:sz w:val="21"/>
          <w:szCs w:val="21"/>
          <w:rtl/>
        </w:rPr>
        <w:t xml:space="preserve">قرار التوزيع (Google Play أو APK مباشر) ما زال مفتوحاً، وGoogle Play Billing تقنياً لا يعمل إلا مع تطبيق منشور فعلياً على المتجر. بدل تأجيل القرار، نصمم نظام الدفع من الأول بحيث يعمل في الحالتين معاً — لا حاجة للانتظار:</w:t>
      </w:r>
    </w:p>
    <w:p>
      <w:pPr>
        <w:pStyle w:val="ListParagraph"/>
        <w:numPr>
          <w:ilvl w:val="0"/>
          <w:numId w:val="2"/>
        </w:numPr>
        <w:bidi/>
        <w:spacing w:after="70" w:line="280"/>
        <w:jc w:val="right"/>
      </w:pPr>
      <w:r>
        <w:rPr>
          <w:b/>
          <w:bCs/>
          <w:color w:val="0B2545"/>
          <w:sz w:val="21"/>
          <w:szCs w:val="21"/>
          <w:rtl/>
        </w:rPr>
        <w:t xml:space="preserve">Google Play Billing: </w:t>
      </w:r>
      <w:r>
        <w:rPr>
          <w:color w:val="1F2937"/>
          <w:sz w:val="21"/>
          <w:szCs w:val="21"/>
          <w:rtl/>
        </w:rPr>
        <w:t xml:space="preserve">يُفعَّل تلقائياً فقط إذا كان التطبيق منشوراً على المتجر — أسهل تجربة دفع للمستخدم وأكثرها أماناً من ناحية Google.</w:t>
      </w:r>
    </w:p>
    <w:p>
      <w:pPr>
        <w:pStyle w:val="ListParagraph"/>
        <w:numPr>
          <w:ilvl w:val="0"/>
          <w:numId w:val="2"/>
        </w:numPr>
        <w:bidi/>
        <w:spacing w:after="70" w:line="280"/>
        <w:jc w:val="right"/>
      </w:pPr>
      <w:r>
        <w:rPr>
          <w:b/>
          <w:bCs/>
          <w:color w:val="0B2545"/>
          <w:sz w:val="21"/>
          <w:szCs w:val="21"/>
          <w:rtl/>
        </w:rPr>
        <w:t xml:space="preserve">Paymob: </w:t>
      </w:r>
      <w:r>
        <w:rPr>
          <w:color w:val="1F2937"/>
          <w:sz w:val="21"/>
          <w:szCs w:val="21"/>
          <w:rtl/>
        </w:rPr>
        <w:t xml:space="preserve">بوابة دفع مصرية شائعة (فيزا/ماستركارد محلي، فوري، محافظ إلكترونية) — تعمل بغض النظر عن قناة توزيع التطبيق، الخيار الأساسي لحالة APK المباشر.</w:t>
      </w:r>
    </w:p>
    <w:p>
      <w:pPr>
        <w:pStyle w:val="ListParagraph"/>
        <w:numPr>
          <w:ilvl w:val="0"/>
          <w:numId w:val="2"/>
        </w:numPr>
        <w:bidi/>
        <w:spacing w:after="70" w:line="280"/>
        <w:jc w:val="right"/>
      </w:pPr>
      <w:r>
        <w:rPr>
          <w:b/>
          <w:bCs/>
          <w:color w:val="0B2545"/>
          <w:sz w:val="21"/>
          <w:szCs w:val="21"/>
          <w:rtl/>
        </w:rPr>
        <w:t xml:space="preserve">فودافون كاش (تفعيل يدوي): </w:t>
      </w:r>
      <w:r>
        <w:rPr>
          <w:color w:val="1F2937"/>
          <w:sz w:val="21"/>
          <w:szCs w:val="21"/>
          <w:rtl/>
        </w:rPr>
        <w:t xml:space="preserve">خيار احتياطي بسيط — السائق يحوّل المبلغ، يرفع صورة إيصال التحويل داخل التطبيق، وتُفعَّل الاشتراك يدوياً من لوحة تحكم إدارية بعد المراجعة. مناسب كحل مرحلي سريع قبل اكتمال تكامل Paymob بالكامل.</w:t>
      </w:r>
    </w:p>
    <w:p>
      <w:pPr>
        <w:bidi/>
        <w:spacing w:after="110" w:line="290"/>
        <w:jc w:val="right"/>
      </w:pPr>
      <w:r>
        <w:rPr>
          <w:color w:val="1F2937"/>
          <w:sz w:val="21"/>
          <w:szCs w:val="21"/>
          <w:rtl/>
        </w:rPr>
        <w:t xml:space="preserve">الأولوية التنفيذية: نبدأ بفودافون كاش (أسرع تنفيذ، صفر تكامل خارجي) كحل أولي، ثم Paymob كحل دائم آلي، و Google Play Billing يُفعَّل تلقائياً لاحقاً إذا تقرر النشر على المتجر.</w:t>
      </w:r>
    </w:p>
    <w:p>
      <w:pPr>
        <w:pStyle w:val="Heading2"/>
        <w:bidi/>
        <w:spacing w:after="120" w:before="260"/>
        <w:jc w:val="right"/>
      </w:pPr>
      <w:r>
        <w:rPr>
          <w:b/>
          <w:bCs/>
          <w:color w:val="0E7C7B"/>
          <w:sz w:val="24"/>
          <w:szCs w:val="24"/>
          <w:rtl/>
        </w:rPr>
        <w:t xml:space="preserve">التحقق من الاشتراك — إلزامياً Server-side</w:t>
      </w:r>
    </w:p>
    <w:p>
      <w:pPr>
        <w:bidi/>
        <w:spacing w:after="110" w:line="290"/>
        <w:jc w:val="right"/>
      </w:pPr>
      <w:r>
        <w:rPr>
          <w:b/>
          <w:bCs/>
          <w:color w:val="B3261E"/>
          <w:sz w:val="21"/>
          <w:szCs w:val="21"/>
          <w:rtl/>
        </w:rPr>
        <w:t xml:space="preserve">فحص 'هل السائق مشترك؟' لا يمكن أن يعتمد على قيمة محفوظة على الجهاز وحده — أي قيمة محلية (SharedPreferences أو حتى قاعدة بيانات محلية) قابلة للتعديل المباشر من أي مستخدم بأدوات بسيطة، ما يُسقط نموذج العمل بالكامل.</w:t>
      </w:r>
    </w:p>
    <w:p>
      <w:pPr>
        <w:pStyle w:val="ListParagraph"/>
        <w:numPr>
          <w:ilvl w:val="0"/>
          <w:numId w:val="2"/>
        </w:numPr>
        <w:bidi/>
        <w:spacing w:after="70" w:line="280"/>
        <w:jc w:val="right"/>
      </w:pPr>
      <w:r>
        <w:rPr>
          <w:b/>
          <w:bCs/>
          <w:color w:val="0B2545"/>
          <w:sz w:val="21"/>
          <w:szCs w:val="21"/>
          <w:rtl/>
        </w:rPr>
        <w:t xml:space="preserve">مصدر الحقيقة الوحيد: </w:t>
      </w:r>
      <w:r>
        <w:rPr>
          <w:color w:val="1F2937"/>
          <w:sz w:val="21"/>
          <w:szCs w:val="21"/>
          <w:rtl/>
        </w:rPr>
        <w:t xml:space="preserve">جدول الاشتراكات في Supabase — حالة الاشتراك (نشط / تجريبي / منتهي) تُقرأ من السيرفر مباشرة، وليس من الجهاز.</w:t>
      </w:r>
    </w:p>
    <w:p>
      <w:pPr>
        <w:pStyle w:val="ListParagraph"/>
        <w:numPr>
          <w:ilvl w:val="0"/>
          <w:numId w:val="2"/>
        </w:numPr>
        <w:bidi/>
        <w:spacing w:after="70" w:line="280"/>
        <w:jc w:val="right"/>
      </w:pPr>
      <w:r>
        <w:rPr>
          <w:b/>
          <w:bCs/>
          <w:color w:val="0B2545"/>
          <w:sz w:val="21"/>
          <w:szCs w:val="21"/>
          <w:rtl/>
        </w:rPr>
        <w:t xml:space="preserve">آلية العمل: </w:t>
      </w:r>
      <w:r>
        <w:rPr>
          <w:color w:val="1F2937"/>
          <w:sz w:val="21"/>
          <w:szCs w:val="21"/>
          <w:rtl/>
        </w:rPr>
        <w:t xml:space="preserve">عند بدء تشغيل خدمة الـ Accessibility، يرسل التطبيق طلب تحقق موقّع (authenticated request) لـ Supabase، ويُخزَّن الرد مؤقتاً (cache قصير المدى، مثال: ٢٤ ساعة) للسماح بعمل التطبيق في حالة انقطاع الإنترنت المؤقت أثناء القيادة — لكن مع إعادة تحقق دورية إجبارية.</w:t>
      </w:r>
    </w:p>
    <w:p>
      <w:pPr>
        <w:pStyle w:val="ListParagraph"/>
        <w:numPr>
          <w:ilvl w:val="0"/>
          <w:numId w:val="2"/>
        </w:numPr>
        <w:bidi/>
        <w:spacing w:after="70" w:line="280"/>
        <w:jc w:val="right"/>
      </w:pPr>
      <w:r>
        <w:rPr>
          <w:b/>
          <w:bCs/>
          <w:color w:val="0B2545"/>
          <w:sz w:val="21"/>
          <w:szCs w:val="21"/>
          <w:rtl/>
        </w:rPr>
        <w:t xml:space="preserve">لا تفعيل محلي نهائياً: </w:t>
      </w:r>
      <w:r>
        <w:rPr>
          <w:color w:val="1F2937"/>
          <w:sz w:val="21"/>
          <w:szCs w:val="21"/>
          <w:rtl/>
        </w:rPr>
        <w:t xml:space="preserve">أي عملية دفع (حتى فودافون كاش اليدوي) تُحدِّث حالة الاشتراك في Supabase أولاً، والتطبيق يقرأ النتيجة من هناك — لا توجد آلية لتفعيل الاشتراك من داخل الجهاز مباشرة بأي حال.</w:t>
      </w:r>
    </w:p>
    <w:p>
      <w:pPr>
        <w:pStyle w:val="Heading1"/>
        <w:pBdr>
          <w:bottom w:val="single" w:color="0E7C7B" w:sz="10" w:space="4"/>
        </w:pBdr>
        <w:bidi/>
        <w:spacing w:after="200" w:before="420"/>
        <w:jc w:val="right"/>
      </w:pPr>
      <w:r>
        <w:rPr>
          <w:b/>
          <w:bCs/>
          <w:color w:val="0B2545"/>
          <w:sz w:val="30"/>
          <w:szCs w:val="30"/>
          <w:rtl/>
        </w:rPr>
        <w:t xml:space="preserve">٤. المهارات المستخدمة من مكتبة أحمد</w:t>
      </w:r>
    </w:p>
    <w:p>
      <w:pPr>
        <w:pStyle w:val="ListParagraph"/>
        <w:numPr>
          <w:ilvl w:val="0"/>
          <w:numId w:val="2"/>
        </w:numPr>
        <w:bidi/>
        <w:spacing w:after="70" w:line="280"/>
        <w:jc w:val="right"/>
      </w:pPr>
      <w:r>
        <w:rPr>
          <w:b/>
          <w:bCs/>
          <w:color w:val="0B2545"/>
          <w:sz w:val="21"/>
          <w:szCs w:val="21"/>
          <w:rtl/>
        </w:rPr>
        <w:t xml:space="preserve">Supabase: </w:t>
      </w:r>
      <w:r>
        <w:rPr>
          <w:color w:val="1F2937"/>
          <w:sz w:val="21"/>
          <w:szCs w:val="21"/>
          <w:rtl/>
        </w:rPr>
        <w:t xml:space="preserve">قاعدة بيانات وخلفية (Backend) لإدارة حسابات السائقين، حالة الاشتراك، والفترة التجريبية.</w:t>
      </w:r>
    </w:p>
    <w:p>
      <w:pPr>
        <w:pStyle w:val="ListParagraph"/>
        <w:numPr>
          <w:ilvl w:val="0"/>
          <w:numId w:val="2"/>
        </w:numPr>
        <w:bidi/>
        <w:spacing w:after="70" w:line="280"/>
        <w:jc w:val="right"/>
      </w:pPr>
      <w:r>
        <w:rPr>
          <w:b/>
          <w:bCs/>
          <w:color w:val="0B2545"/>
          <w:sz w:val="21"/>
          <w:szCs w:val="21"/>
          <w:rtl/>
        </w:rPr>
        <w:t xml:space="preserve">Vercel: </w:t>
      </w:r>
      <w:r>
        <w:rPr>
          <w:color w:val="1F2937"/>
          <w:sz w:val="21"/>
          <w:szCs w:val="21"/>
          <w:rtl/>
        </w:rPr>
        <w:t xml:space="preserve">استضافة أي صفحة تسويقية/هبوط مصاحبة للتطبيق (موقع Super Driver) — خارج التطبيق نفسه.</w:t>
      </w:r>
    </w:p>
    <w:p>
      <w:pPr>
        <w:pStyle w:val="ListParagraph"/>
        <w:numPr>
          <w:ilvl w:val="0"/>
          <w:numId w:val="2"/>
        </w:numPr>
        <w:bidi/>
        <w:spacing w:after="70" w:line="280"/>
        <w:jc w:val="right"/>
      </w:pPr>
      <w:r>
        <w:rPr>
          <w:b/>
          <w:bCs/>
          <w:color w:val="0B2545"/>
          <w:sz w:val="21"/>
          <w:szCs w:val="21"/>
          <w:rtl/>
        </w:rPr>
        <w:t xml:space="preserve">claude-council: </w:t>
      </w:r>
      <w:r>
        <w:rPr>
          <w:color w:val="1F2937"/>
          <w:sz w:val="21"/>
          <w:szCs w:val="21"/>
          <w:rtl/>
        </w:rPr>
        <w:t xml:space="preserve">هذا المشروع نفسه يُدار بالكامل من خلالها — المرحلة الحالية (التخطيط) جزء منها.</w:t>
      </w:r>
    </w:p>
    <w:p>
      <w:pPr>
        <w:pStyle w:val="ListParagraph"/>
        <w:numPr>
          <w:ilvl w:val="0"/>
          <w:numId w:val="2"/>
        </w:numPr>
        <w:bidi/>
        <w:spacing w:after="70" w:line="280"/>
        <w:jc w:val="right"/>
      </w:pPr>
      <w:r>
        <w:rPr>
          <w:b/>
          <w:bCs/>
          <w:color w:val="0B2545"/>
          <w:sz w:val="21"/>
          <w:szCs w:val="21"/>
          <w:rtl/>
        </w:rPr>
        <w:t xml:space="preserve">token-saver: </w:t>
      </w:r>
      <w:r>
        <w:rPr>
          <w:color w:val="1F2937"/>
          <w:sz w:val="21"/>
          <w:szCs w:val="21"/>
          <w:rtl/>
        </w:rPr>
        <w:t xml:space="preserve">مفعّلة تلقائياً خلال كل المحادثة لتقليل استهلاك الباقة.</w:t>
      </w:r>
    </w:p>
    <w:p>
      <w:pPr>
        <w:pStyle w:val="ListParagraph"/>
        <w:numPr>
          <w:ilvl w:val="0"/>
          <w:numId w:val="2"/>
        </w:numPr>
        <w:bidi/>
        <w:spacing w:after="70" w:line="280"/>
        <w:jc w:val="right"/>
      </w:pPr>
      <w:r>
        <w:rPr>
          <w:b/>
          <w:bCs/>
          <w:color w:val="0B2545"/>
          <w:sz w:val="21"/>
          <w:szCs w:val="21"/>
          <w:rtl/>
        </w:rPr>
        <w:t xml:space="preserve">golive-skill: </w:t>
      </w:r>
      <w:r>
        <w:rPr>
          <w:color w:val="1F2937"/>
          <w:sz w:val="21"/>
          <w:szCs w:val="21"/>
          <w:rtl/>
        </w:rPr>
        <w:t xml:space="preserve">مرشّحة للاستخدام في مرحلة النشر النهائي على Play Store/التوزيع.</w:t>
      </w:r>
    </w:p>
    <w:p>
      <w:pPr>
        <w:pStyle w:val="Heading2"/>
        <w:bidi/>
        <w:spacing w:after="120" w:before="260"/>
        <w:jc w:val="right"/>
      </w:pPr>
      <w:r>
        <w:rPr>
          <w:b/>
          <w:bCs/>
          <w:color w:val="0E7C7B"/>
          <w:sz w:val="24"/>
          <w:szCs w:val="24"/>
          <w:rtl/>
        </w:rPr>
        <w:t xml:space="preserve">قدرات ناقصة — تحتاج اقتراح خارجي</w:t>
      </w:r>
    </w:p>
    <w:p>
      <w:pPr>
        <w:bidi/>
        <w:spacing w:after="110" w:line="290"/>
        <w:jc w:val="right"/>
      </w:pPr>
      <w:r>
        <w:rPr>
          <w:i/>
          <w:iCs/>
          <w:color w:val="1F2937"/>
          <w:sz w:val="21"/>
          <w:szCs w:val="21"/>
          <w:rtl/>
        </w:rPr>
        <w:t xml:space="preserve">لا توجد مهارة حالياً في مكتبة أحمد مخصصة لبناء Android Accessibility Services أو OCR محلي — هذا الجزء سيُبنى مباشرة في Claude Code باستخدام مكتبات Android القياسية (AccessibilityService API و ML Kit)، وهي مكتبات Google رسمية مجانية لا تحتاج تثبيت plugin خاص داخل Claude.</w:t>
      </w:r>
    </w:p>
    <w:p>
      <w:pPr>
        <w:pStyle w:val="Heading1"/>
        <w:pBdr>
          <w:bottom w:val="single" w:color="0E7C7B" w:sz="10" w:space="4"/>
        </w:pBdr>
        <w:bidi/>
        <w:spacing w:after="200" w:before="420"/>
        <w:jc w:val="right"/>
      </w:pPr>
      <w:r>
        <w:rPr>
          <w:b/>
          <w:bCs/>
          <w:color w:val="0B2545"/>
          <w:sz w:val="30"/>
          <w:szCs w:val="30"/>
          <w:rtl/>
        </w:rPr>
        <w:t xml:space="preserve">٥. القيود والمخاطر التقنية</w:t>
      </w:r>
    </w:p>
    <w:tbl>
      <w:tblPr>
        <w:tblW w:type="dxa" w:w="9300"/>
        <w:tblBorders>
          <w:top w:val="single" w:color="D1D5DB" w:sz="4"/>
          <w:left w:val="single" w:color="D1D5DB" w:sz="4"/>
          <w:bottom w:val="single" w:color="D1D5DB" w:sz="4"/>
          <w:right w:val="single" w:color="D1D5DB" w:sz="4"/>
          <w:insideH w:val="single" w:color="E5E7EB" w:sz="4"/>
          <w:insideV w:val="single" w:color="E5E7EB" w:sz="4"/>
        </w:tblBorders>
      </w:tblPr>
      <w:tblGrid>
        <w:gridCol w:w="6200"/>
        <w:gridCol w:w="3100"/>
      </w:tblGrid>
      <w:tr>
        <w:trPr>
          <w:tblHeader/>
        </w:trPr>
        <w:tc>
          <w:tcPr>
            <w:shd w:fill="B3261E" w:val="clear"/>
            <w:tcMar>
              <w:top w:type="dxa" w:w="100"/>
              <w:left w:type="dxa" w:w="150"/>
              <w:bottom w:type="dxa" w:w="100"/>
              <w:right w:type="dxa" w:w="150"/>
            </w:tcMar>
          </w:tcPr>
          <w:p>
            <w:pPr>
              <w:bidi/>
              <w:jc w:val="right"/>
            </w:pPr>
            <w:r>
              <w:rPr>
                <w:b/>
                <w:bCs/>
                <w:color w:val="FFFFFF"/>
                <w:sz w:val="19"/>
                <w:szCs w:val="19"/>
                <w:rtl/>
              </w:rPr>
              <w:t xml:space="preserve">القيد/المخاطرة</w:t>
            </w:r>
          </w:p>
        </w:tc>
        <w:tc>
          <w:tcPr>
            <w:shd w:fill="B3261E" w:val="clear"/>
            <w:tcMar>
              <w:top w:type="dxa" w:w="100"/>
              <w:left w:type="dxa" w:w="150"/>
              <w:bottom w:type="dxa" w:w="100"/>
              <w:right w:type="dxa" w:w="150"/>
            </w:tcMar>
          </w:tcPr>
          <w:p>
            <w:pPr>
              <w:bidi/>
              <w:jc w:val="right"/>
            </w:pPr>
            <w:r>
              <w:rPr>
                <w:b/>
                <w:bCs/>
                <w:color w:val="FFFFFF"/>
                <w:sz w:val="19"/>
                <w:szCs w:val="19"/>
                <w:rtl/>
              </w:rPr>
              <w:t xml:space="preserve">البند</w:t>
            </w:r>
          </w:p>
        </w:tc>
      </w:tr>
      <w:tr>
        <w:tc>
          <w:tcPr>
            <w:tcMar>
              <w:top w:type="dxa" w:w="100"/>
              <w:left w:type="dxa" w:w="150"/>
              <w:bottom w:type="dxa" w:w="100"/>
              <w:right w:type="dxa" w:w="150"/>
            </w:tcMar>
          </w:tcPr>
          <w:p>
            <w:pPr>
              <w:bidi/>
              <w:jc w:val="right"/>
            </w:pPr>
            <w:r>
              <w:rPr>
                <w:b w:val="false"/>
                <w:bCs w:val="false"/>
                <w:color w:val="1F2937"/>
                <w:sz w:val="19"/>
                <w:szCs w:val="19"/>
                <w:rtl/>
              </w:rPr>
              <w:t xml:space="preserve">لا ضغط آلي على أي زر داخل تطبيق أوبر — قراءة وعرض فقط، بأي حال من الأحوال</w:t>
            </w:r>
          </w:p>
        </w:tc>
        <w:tc>
          <w:tcPr>
            <w:tcMar>
              <w:top w:type="dxa" w:w="100"/>
              <w:left w:type="dxa" w:w="150"/>
              <w:bottom w:type="dxa" w:w="100"/>
              <w:right w:type="dxa" w:w="150"/>
            </w:tcMar>
          </w:tcPr>
          <w:p>
            <w:pPr>
              <w:bidi/>
              <w:jc w:val="right"/>
            </w:pPr>
            <w:r>
              <w:rPr>
                <w:b w:val="false"/>
                <w:bCs w:val="false"/>
                <w:color w:val="1F2937"/>
                <w:sz w:val="19"/>
                <w:szCs w:val="19"/>
                <w:rtl/>
              </w:rPr>
              <w:t xml:space="preserve">التفاعل مع أوبر</w:t>
            </w:r>
          </w:p>
        </w:tc>
      </w:tr>
      <w:tr>
        <w:tc>
          <w:tcPr>
            <w:tcMar>
              <w:top w:type="dxa" w:w="100"/>
              <w:left w:type="dxa" w:w="150"/>
              <w:bottom w:type="dxa" w:w="100"/>
              <w:right w:type="dxa" w:w="150"/>
            </w:tcMar>
          </w:tcPr>
          <w:p>
            <w:pPr>
              <w:bidi/>
              <w:jc w:val="right"/>
            </w:pPr>
            <w:r>
              <w:rPr>
                <w:b w:val="false"/>
                <w:bCs w:val="false"/>
                <w:color w:val="1F2937"/>
                <w:sz w:val="19"/>
                <w:szCs w:val="19"/>
                <w:rtl/>
              </w:rPr>
              <w:t xml:space="preserve">لا تخزين لبيانات الرحلات أو السعر على سيرفر خارجي أثناء العرض اللحظي — التحليل محلي بالكامل على جهاز السائق</w:t>
            </w:r>
          </w:p>
        </w:tc>
        <w:tc>
          <w:tcPr>
            <w:tcMar>
              <w:top w:type="dxa" w:w="100"/>
              <w:left w:type="dxa" w:w="150"/>
              <w:bottom w:type="dxa" w:w="100"/>
              <w:right w:type="dxa" w:w="150"/>
            </w:tcMar>
          </w:tcPr>
          <w:p>
            <w:pPr>
              <w:bidi/>
              <w:jc w:val="right"/>
            </w:pPr>
            <w:r>
              <w:rPr>
                <w:b w:val="false"/>
                <w:bCs w:val="false"/>
                <w:color w:val="1F2937"/>
                <w:sz w:val="19"/>
                <w:szCs w:val="19"/>
                <w:rtl/>
              </w:rPr>
              <w:t xml:space="preserve">الخصوصية</w:t>
            </w:r>
          </w:p>
        </w:tc>
      </w:tr>
      <w:tr>
        <w:tc>
          <w:tcPr>
            <w:tcMar>
              <w:top w:type="dxa" w:w="100"/>
              <w:left w:type="dxa" w:w="150"/>
              <w:bottom w:type="dxa" w:w="100"/>
              <w:right w:type="dxa" w:w="150"/>
            </w:tcMar>
          </w:tcPr>
          <w:p>
            <w:pPr>
              <w:bidi/>
              <w:jc w:val="right"/>
            </w:pPr>
            <w:r>
              <w:rPr>
                <w:b w:val="false"/>
                <w:bCs w:val="false"/>
                <w:color w:val="1F2937"/>
                <w:sz w:val="19"/>
                <w:szCs w:val="19"/>
                <w:rtl/>
              </w:rPr>
              <w:t xml:space="preserve">لا اختراع أو افتراض أي API غير موجود فعلياً في توثيق Android الرسمي</w:t>
            </w:r>
          </w:p>
        </w:tc>
        <w:tc>
          <w:tcPr>
            <w:tcMar>
              <w:top w:type="dxa" w:w="100"/>
              <w:left w:type="dxa" w:w="150"/>
              <w:bottom w:type="dxa" w:w="100"/>
              <w:right w:type="dxa" w:w="150"/>
            </w:tcMar>
          </w:tcPr>
          <w:p>
            <w:pPr>
              <w:bidi/>
              <w:jc w:val="right"/>
            </w:pPr>
            <w:r>
              <w:rPr>
                <w:b w:val="false"/>
                <w:bCs w:val="false"/>
                <w:color w:val="1F2937"/>
                <w:sz w:val="19"/>
                <w:szCs w:val="19"/>
                <w:rtl/>
              </w:rPr>
              <w:t xml:space="preserve">الاعتماديات</w:t>
            </w:r>
          </w:p>
        </w:tc>
      </w:tr>
      <w:tr>
        <w:tc>
          <w:tcPr>
            <w:tcMar>
              <w:top w:type="dxa" w:w="100"/>
              <w:left w:type="dxa" w:w="150"/>
              <w:bottom w:type="dxa" w:w="100"/>
              <w:right w:type="dxa" w:w="150"/>
            </w:tcMar>
          </w:tcPr>
          <w:p>
            <w:pPr>
              <w:bidi/>
              <w:jc w:val="right"/>
            </w:pPr>
            <w:r>
              <w:rPr>
                <w:b w:val="false"/>
                <w:bCs w:val="false"/>
                <w:color w:val="1F2937"/>
                <w:sz w:val="19"/>
                <w:szCs w:val="19"/>
                <w:rtl/>
              </w:rPr>
              <w:t xml:space="preserve">تغييرات تحديثات أوبر المستقبلية على بنية الشاشة قد تكسر الـ Parser — يحتاج نظام مراقبة ومرونة في الأنماط (regex)</w:t>
            </w:r>
          </w:p>
        </w:tc>
        <w:tc>
          <w:tcPr>
            <w:tcMar>
              <w:top w:type="dxa" w:w="100"/>
              <w:left w:type="dxa" w:w="150"/>
              <w:bottom w:type="dxa" w:w="100"/>
              <w:right w:type="dxa" w:w="150"/>
            </w:tcMar>
          </w:tcPr>
          <w:p>
            <w:pPr>
              <w:bidi/>
              <w:jc w:val="right"/>
            </w:pPr>
            <w:r>
              <w:rPr>
                <w:b w:val="false"/>
                <w:bCs w:val="false"/>
                <w:color w:val="1F2937"/>
                <w:sz w:val="19"/>
                <w:szCs w:val="19"/>
                <w:rtl/>
              </w:rPr>
              <w:t xml:space="preserve">الصيانة المستقبلية</w:t>
            </w:r>
          </w:p>
        </w:tc>
      </w:tr>
      <w:tr>
        <w:tc>
          <w:tcPr>
            <w:tcMar>
              <w:top w:type="dxa" w:w="100"/>
              <w:left w:type="dxa" w:w="150"/>
              <w:bottom w:type="dxa" w:w="100"/>
              <w:right w:type="dxa" w:w="150"/>
            </w:tcMar>
          </w:tcPr>
          <w:p>
            <w:pPr>
              <w:bidi/>
              <w:jc w:val="right"/>
            </w:pPr>
            <w:r>
              <w:rPr>
                <w:b w:val="false"/>
                <w:bCs w:val="false"/>
                <w:color w:val="1F2937"/>
                <w:sz w:val="19"/>
                <w:szCs w:val="19"/>
                <w:rtl/>
              </w:rPr>
              <w:t xml:space="preserve">النافذة العائمة ممنوع تمنعاً باتاً أن تتقاطع مع موقع زر القبول — قيد تصميم غير قابل للتفاوض</w:t>
            </w:r>
          </w:p>
        </w:tc>
        <w:tc>
          <w:tcPr>
            <w:tcMar>
              <w:top w:type="dxa" w:w="100"/>
              <w:left w:type="dxa" w:w="150"/>
              <w:bottom w:type="dxa" w:w="100"/>
              <w:right w:type="dxa" w:w="150"/>
            </w:tcMar>
          </w:tcPr>
          <w:p>
            <w:pPr>
              <w:bidi/>
              <w:jc w:val="right"/>
            </w:pPr>
            <w:r>
              <w:rPr>
                <w:b w:val="false"/>
                <w:bCs w:val="false"/>
                <w:color w:val="1F2937"/>
                <w:sz w:val="19"/>
                <w:szCs w:val="19"/>
                <w:rtl/>
              </w:rPr>
              <w:t xml:space="preserve">واجهة الاستخدام</w:t>
            </w:r>
          </w:p>
        </w:tc>
      </w:tr>
      <w:tr>
        <w:tc>
          <w:tcPr>
            <w:tcMar>
              <w:top w:type="dxa" w:w="100"/>
              <w:left w:type="dxa" w:w="150"/>
              <w:bottom w:type="dxa" w:w="100"/>
              <w:right w:type="dxa" w:w="150"/>
            </w:tcMar>
          </w:tcPr>
          <w:p>
            <w:pPr>
              <w:bidi/>
              <w:jc w:val="right"/>
            </w:pPr>
            <w:r>
              <w:rPr>
                <w:b w:val="false"/>
                <w:bCs w:val="false"/>
                <w:color w:val="1F2937"/>
                <w:sz w:val="19"/>
                <w:szCs w:val="19"/>
                <w:rtl/>
              </w:rPr>
              <w:t xml:space="preserve">فحص حالة الاشتراك يتم من Supabase حصرياً — أي تفعيل أو تحقق محلي على الجهاز وحده مرفوض</w:t>
            </w:r>
          </w:p>
        </w:tc>
        <w:tc>
          <w:tcPr>
            <w:tcMar>
              <w:top w:type="dxa" w:w="100"/>
              <w:left w:type="dxa" w:w="150"/>
              <w:bottom w:type="dxa" w:w="100"/>
              <w:right w:type="dxa" w:w="150"/>
            </w:tcMar>
          </w:tcPr>
          <w:p>
            <w:pPr>
              <w:bidi/>
              <w:jc w:val="right"/>
            </w:pPr>
            <w:r>
              <w:rPr>
                <w:b w:val="false"/>
                <w:bCs w:val="false"/>
                <w:color w:val="1F2937"/>
                <w:sz w:val="19"/>
                <w:szCs w:val="19"/>
                <w:rtl/>
              </w:rPr>
              <w:t xml:space="preserve">نموذج العمل</w:t>
            </w:r>
          </w:p>
        </w:tc>
      </w:tr>
    </w:tbl>
    <w:p>
      <w:pPr>
        <w:pStyle w:val="Heading1"/>
        <w:pBdr>
          <w:bottom w:val="single" w:color="0E7C7B" w:sz="10" w:space="4"/>
        </w:pBdr>
        <w:bidi/>
        <w:spacing w:after="200" w:before="420"/>
        <w:jc w:val="right"/>
      </w:pPr>
      <w:r>
        <w:rPr>
          <w:b/>
          <w:bCs/>
          <w:color w:val="0B2545"/>
          <w:sz w:val="30"/>
          <w:szCs w:val="30"/>
          <w:rtl/>
        </w:rPr>
        <w:t xml:space="preserve">٦. معايير النجاح لهذه المرحلة</w:t>
      </w:r>
    </w:p>
    <w:p>
      <w:pPr>
        <w:pStyle w:val="ListParagraph"/>
        <w:numPr>
          <w:ilvl w:val="0"/>
          <w:numId w:val="2"/>
        </w:numPr>
        <w:bidi/>
        <w:spacing w:after="70" w:line="280"/>
        <w:jc w:val="right"/>
      </w:pPr>
      <w:r>
        <w:rPr>
          <w:color w:val="1F2937"/>
          <w:sz w:val="21"/>
          <w:szCs w:val="21"/>
          <w:rtl/>
        </w:rPr>
        <w:t xml:space="preserve">قراءة صحيحة لـ ٩٥٪ على الأقل من طلبات الرحلة الحقيقية (عربي + إنجليزي) في الاختبار الميداني.</w:t>
      </w:r>
    </w:p>
    <w:p>
      <w:pPr>
        <w:pStyle w:val="ListParagraph"/>
        <w:numPr>
          <w:ilvl w:val="0"/>
          <w:numId w:val="2"/>
        </w:numPr>
        <w:bidi/>
        <w:spacing w:after="70" w:line="280"/>
        <w:jc w:val="right"/>
      </w:pPr>
      <w:r>
        <w:rPr>
          <w:color w:val="1F2937"/>
          <w:sz w:val="21"/>
          <w:szCs w:val="21"/>
          <w:rtl/>
        </w:rPr>
        <w:t xml:space="preserve">ظهور النافذة العائمة خلال أقل من ثانية واحدة من ظهور طلب الرحلة على شاشة أوبر.</w:t>
      </w:r>
    </w:p>
    <w:p>
      <w:pPr>
        <w:pStyle w:val="ListParagraph"/>
        <w:numPr>
          <w:ilvl w:val="0"/>
          <w:numId w:val="2"/>
        </w:numPr>
        <w:bidi/>
        <w:spacing w:after="70" w:line="280"/>
        <w:jc w:val="right"/>
      </w:pPr>
      <w:r>
        <w:rPr>
          <w:color w:val="1F2937"/>
          <w:sz w:val="21"/>
          <w:szCs w:val="21"/>
          <w:rtl/>
        </w:rPr>
        <w:t xml:space="preserve">استهلاك بطارية إضافي لا يتجاوز ٥٪ خلال ٨ ساعات عمل متواصل.</w:t>
      </w:r>
    </w:p>
    <w:p>
      <w:pPr>
        <w:pStyle w:val="ListParagraph"/>
        <w:numPr>
          <w:ilvl w:val="0"/>
          <w:numId w:val="2"/>
        </w:numPr>
        <w:bidi/>
        <w:spacing w:after="70" w:line="280"/>
        <w:jc w:val="right"/>
      </w:pPr>
      <w:r>
        <w:rPr>
          <w:color w:val="1F2937"/>
          <w:sz w:val="21"/>
          <w:szCs w:val="21"/>
          <w:rtl/>
        </w:rPr>
        <w:t xml:space="preserve">عدم تعليق أو تعطّل تطبيق أوبر نفسه بأي شكل أثناء عمل الخدمة في الخلفية.</w:t>
      </w:r>
    </w:p>
    <w:p>
      <w:pPr>
        <w:pStyle w:val="ListParagraph"/>
        <w:numPr>
          <w:ilvl w:val="0"/>
          <w:numId w:val="2"/>
        </w:numPr>
        <w:bidi/>
        <w:spacing w:after="70" w:line="280"/>
        <w:jc w:val="right"/>
      </w:pPr>
      <w:r>
        <w:rPr>
          <w:color w:val="1F2937"/>
          <w:sz w:val="21"/>
          <w:szCs w:val="21"/>
          <w:rtl/>
        </w:rPr>
        <w:t xml:space="preserve">صفر حالات تغطية فعلية لزر القبول/التطابق في الاختبار الميداني — هذا شرط قبول (acceptance criterion) وليس مجرد تفضيل.</w:t>
      </w:r>
    </w:p>
    <w:p>
      <w:pPr>
        <w:pStyle w:val="ListParagraph"/>
        <w:numPr>
          <w:ilvl w:val="0"/>
          <w:numId w:val="2"/>
        </w:numPr>
        <w:bidi/>
        <w:spacing w:after="70" w:line="280"/>
        <w:jc w:val="right"/>
      </w:pPr>
      <w:r>
        <w:rPr>
          <w:color w:val="1F2937"/>
          <w:sz w:val="21"/>
          <w:szCs w:val="21"/>
          <w:rtl/>
        </w:rPr>
        <w:t xml:space="preserve">تحقق الاشتراك من السيرفر يتم خلال أقل من ثانيتين عند بدء تشغيل الخدمة، مع دعم وضع عدم اتصال مؤقت بذاكرة تخزين محلية محدودة المدة.</w:t>
      </w:r>
    </w:p>
    <w:p>
      <w:pPr>
        <w:pStyle w:val="Heading1"/>
        <w:pBdr>
          <w:bottom w:val="single" w:color="0E7C7B" w:sz="10" w:space="4"/>
        </w:pBdr>
        <w:bidi/>
        <w:spacing w:after="200" w:before="420"/>
        <w:jc w:val="right"/>
      </w:pPr>
      <w:r>
        <w:rPr>
          <w:b/>
          <w:bCs/>
          <w:color w:val="0B2545"/>
          <w:sz w:val="30"/>
          <w:szCs w:val="30"/>
          <w:rtl/>
        </w:rPr>
        <w:t xml:space="preserve">٧. الخطوة التالية</w:t>
      </w:r>
    </w:p>
    <w:p>
      <w:pPr>
        <w:bidi/>
        <w:spacing w:after="110" w:line="290"/>
        <w:jc w:val="right"/>
      </w:pPr>
      <w:r>
        <w:rPr>
          <w:b/>
          <w:bCs/>
          <w:color w:val="1F2937"/>
          <w:sz w:val="21"/>
          <w:szCs w:val="21"/>
          <w:rtl/>
        </w:rPr>
        <w:t xml:space="preserve">بعد موافقة أحمد على هذا المستند، ندخل مرحلة التصميم: نموذج HTML تفاعلي يعرض شاشة الإعدادات وشكل النافذة العائمة بحالاتها الثلاث (مناسبة/قريبة/غير مناسبة)، قبل البدء في أي كود فعلي.</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color w:val="6B7280"/>
        <w:sz w:val="16"/>
        <w:szCs w:val="16"/>
        <w:rtl/>
      </w:rPr>
      <w:t xml:space="preserve">مسودة للمراجعة — صفحة </w:t>
    </w:r>
    <w:r>
      <w:rPr>
        <w:color w:val="6B7280"/>
        <w:sz w:val="16"/>
        <w:szCs w:val="16"/>
      </w:rPr>
      <w:fldChar w:fldCharType="begin"/>
      <w:instrText xml:space="preserve">PAGE</w:instrText>
      <w:fldChar w:fldCharType="separate"/>
      <w:fldChar w:fldCharType="end"/>
    </w:r>
    <w:r>
      <w:rPr>
        <w:color w:val="6B7280"/>
        <w:sz w:val="16"/>
        <w:szCs w:val="16"/>
        <w:rtl/>
      </w:rPr>
      <w:t xml:space="preserve"> من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bidi/>
      <w:jc w:val="right"/>
    </w:pPr>
    <w:r>
      <w:rPr>
        <w:color w:val="6B7280"/>
        <w:sz w:val="16"/>
        <w:szCs w:val="16"/>
        <w:rtl/>
      </w:rPr>
      <w:t xml:space="preserve">Super Driver — مستند المواصفات (المرحلة ١: التخطيط)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400" w:hanging="260"/>
      </w:pPr>
    </w:lvl>
    <w:lvl w:ilvl="1" w15:tentative="1">
      <w:start w:val="1"/>
      <w:numFmt w:val="bullet"/>
      <w:lvlText w:val="○"/>
      <w:lvlJc w:val="right"/>
      <w:pPr>
        <w:bidi/>
        <w:ind w:righ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2026-10-04T08:42:46.423Z</dcterms:created>
  <dcterms:modified xsi:type="dcterms:W3CDTF">2026-10-04T08:42:46.423Z</dcterms:modified>
</cp:coreProperties>
</file>

<file path=docProps/custom.xml><?xml version="1.0" encoding="utf-8"?>
<Properties xmlns="http://schemas.openxmlformats.org/officeDocument/2006/custom-properties" xmlns:vt="http://schemas.openxmlformats.org/officeDocument/2006/docPropsVTypes"/>
</file>