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5B6B75"/>
          <w:sz w:val="20"/>
          <w:szCs w:val="20"/>
        </w:rPr>
        <w:t xml:space="preserve">Bpharma</w:t>
      </w:r>
    </w:p>
    <w:p>
      <w:pPr>
        <w:spacing w:after="60" w:before="0"/>
      </w:pPr>
      <w:r>
        <w:rPr>
          <w:color w:val="5B6B75"/>
          <w:sz w:val="17"/>
          <w:szCs w:val="17"/>
        </w:rPr>
        <w:t xml:space="preserve">Advanced Pharmaceutical Industries Co. Ltd · Jeddah, Kingdom of Saudi Arabia</w:t>
      </w:r>
    </w:p>
    <w:p>
      <w:pPr>
        <w:spacing w:after="60" w:before="400"/>
      </w:pPr>
      <w:r>
        <w:rPr>
          <w:b/>
          <w:bCs/>
          <w:color w:val="2E6F8E"/>
          <w:sz w:val="20"/>
          <w:szCs w:val="20"/>
        </w:rPr>
        <w:t xml:space="preserve">Data Integrity Assessment</w:t>
      </w:r>
    </w:p>
    <w:p>
      <w:pPr>
        <w:pStyle w:val="Title"/>
        <w:spacing w:after="300" w:before="0"/>
      </w:pPr>
      <w:r>
        <w:rPr>
          <w:b/>
          <w:bCs/>
          <w:color w:val="13324B"/>
          <w:sz w:val="44"/>
          <w:szCs w:val="44"/>
        </w:rPr>
        <w:t xml:space="preserve">Data Integrity Assessment (ALCOA+)</w:t>
      </w:r>
    </w:p>
    <w:tbl>
      <w:tblPr>
        <w:tblW w:type="dxa" w:w="10000"/>
        <w:tblBorders>
          <w:top w:val="single" w:color="C7D2D9" w:sz="4"/>
          <w:left w:val="single" w:color="C7D2D9" w:sz="4"/>
          <w:bottom w:val="single" w:color="C7D2D9" w:sz="4"/>
          <w:right w:val="single" w:color="C7D2D9" w:sz="4"/>
          <w:insideH w:val="single" w:color="C7D2D9" w:sz="4"/>
          <w:insideV w:val="single" w:color="C7D2D9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E6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Document Number</w:t>
            </w:r>
          </w:p>
          <w:p>
            <w:r>
              <w:rPr>
                <w:sz w:val="19"/>
                <w:szCs w:val="19"/>
              </w:rPr>
              <w:t xml:space="preserve">VAL/LIMS/DIA/001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Document Type</w:t>
            </w:r>
          </w:p>
          <w:p>
            <w:r>
              <w:rPr>
                <w:sz w:val="19"/>
                <w:szCs w:val="19"/>
              </w:rPr>
              <w:t xml:space="preserve">DIA</w:t>
            </w:r>
          </w:p>
        </w:tc>
        <w:tc>
          <w:tcPr>
            <w:tcW w:type="dxa" w:w="2500"/>
            <w:shd w:fill="E6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Version</w:t>
            </w:r>
          </w:p>
          <w:p>
            <w:r>
              <w:rPr>
                <w:sz w:val="19"/>
                <w:szCs w:val="19"/>
              </w:rPr>
              <w:t xml:space="preserve">0.1 DRAFT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Effective Date</w:t>
            </w:r>
          </w:p>
          <w:p>
            <w:r>
              <w:rPr>
                <w:sz w:val="19"/>
                <w:szCs w:val="19"/>
              </w:rPr>
              <w:t xml:space="preserve">Pending approval</w:t>
            </w:r>
          </w:p>
        </w:tc>
      </w:tr>
      <w:tr>
        <w:tc>
          <w:tcPr>
            <w:tcW w:type="dxa" w:w="7000"/>
            <w:shd w:fill="E6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System</w:t>
            </w:r>
          </w:p>
          <w:p>
            <w:r>
              <w:rPr>
                <w:sz w:val="19"/>
                <w:szCs w:val="19"/>
              </w:rPr>
              <w:t xml:space="preserve">B-Pharma LIMS (desktop edition)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GAMP Category</w:t>
            </w:r>
          </w:p>
          <w:p>
            <w:r>
              <w:rPr>
                <w:sz w:val="19"/>
                <w:szCs w:val="19"/>
              </w:rPr>
              <w:t xml:space="preserve">Category 5 — Custom Application</w:t>
            </w:r>
          </w:p>
        </w:tc>
      </w:tr>
    </w:tbl>
    <w:p>
      <w:pPr>
        <w:spacing w:after="0" w:before="500"/>
      </w:pPr>
      <w:r>
        <w:br w:type="page"/>
      </w:r>
    </w:p>
    <w:tbl>
      <w:tblPr>
        <w:tblW w:type="dxa" w:w="10000"/>
        <w:tblBorders>
          <w:top w:val="single" w:color="D98A2B" w:sz="4"/>
          <w:left w:val="single" w:color="D98A2B" w:sz="16"/>
          <w:bottom w:val="single" w:color="D98A2B" w:sz="4"/>
          <w:right w:val="single" w:color="D98A2B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shd w:fill="FBEE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D98A2B"/>
                <w:sz w:val="18"/>
                <w:szCs w:val="18"/>
              </w:rPr>
              <w:t xml:space="preserve">Note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DRAFT. No approval signatures have been applied. Requirement identifiers in this package were created by this package (no approved URS existed); the System Owner must review and approve them. Technical execution recorded here was performed by an AI assistant (Claude); a qualified human reviewer must review the evidence and countersign.</w:t>
            </w:r>
          </w:p>
        </w:tc>
      </w:tr>
    </w:tbl>
    <w:p>
      <w:pPr>
        <w:pStyle w:val="Heading1"/>
      </w:pPr>
      <w:bookmarkStart w:name="_Toc61" w:id="61"/>
      <w:r>
        <w:t xml:space="preserve">Contents</w:t>
      </w:r>
      <w:bookmarkEnd w:id="61"/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61">
            <w:r>
              <w:t xml:space="preserve">Contents</w:t>
            </w:r>
            <w:r>
              <w:tab/>
            </w:r>
            <w:r>
              <w:fldChar w:fldCharType="begin" w:dirty="true"/>
              <w:instrText xml:space="preserve">PAGEREF _Toc61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62">
            <w:r>
              <w:t xml:space="preserve">1. ALCOA+ against mechanisms</w:t>
            </w:r>
            <w:r>
              <w:tab/>
            </w:r>
            <w:r>
              <w:fldChar w:fldCharType="begin" w:dirty="true"/>
              <w:instrText xml:space="preserve">PAGEREF _Toc62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63">
            <w:r>
              <w:t xml:space="preserve">2. Residual risks and compensating controls</w:t>
            </w:r>
            <w:r>
              <w:tab/>
            </w:r>
            <w:r>
              <w:fldChar w:fldCharType="begin" w:dirty="true"/>
              <w:instrText xml:space="preserve">PAGEREF _Toc63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64">
            <w:r>
              <w:t xml:space="preserve">Approval</w:t>
            </w:r>
            <w:r>
              <w:tab/>
            </w:r>
            <w:r>
              <w:fldChar w:fldCharType="begin" w:dirty="true"/>
              <w:instrText xml:space="preserve">PAGEREF _Toc64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</w:pPr>
      <w:bookmarkStart w:name="_Toc62" w:id="62"/>
      <w:r>
        <w:t xml:space="preserve">1. ALCOA+ against mechanisms</w:t>
      </w:r>
      <w:bookmarkEnd w:id="62"/>
    </w:p>
    <w:tbl>
      <w:tblPr>
        <w:tblW w:type="dxa" w:w="10000"/>
        <w:tblBorders>
          <w:top w:val="single" w:color="C7D2D9" w:sz="4"/>
          <w:left w:val="single" w:color="C7D2D9" w:sz="4"/>
          <w:bottom w:val="single" w:color="C7D2D9" w:sz="4"/>
          <w:right w:val="single" w:color="C7D2D9" w:sz="4"/>
          <w:insideH w:val="single" w:color="C7D2D9" w:sz="4"/>
          <w:insideV w:val="single" w:color="C7D2D9" w:sz="4"/>
        </w:tblBorders>
      </w:tblPr>
      <w:tblGrid>
        <w:gridCol w:w="1800"/>
        <w:gridCol w:w="5500"/>
        <w:gridCol w:w="2700"/>
      </w:tblGrid>
      <w:tr>
        <w:trPr>
          <w:tblHeader/>
        </w:trPr>
        <w:tc>
          <w:tcPr>
            <w:tcW w:type="dxa" w:w="1800"/>
            <w:shd w:fill="1332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Principle</w:t>
            </w:r>
          </w:p>
        </w:tc>
        <w:tc>
          <w:tcPr>
            <w:tcW w:type="dxa" w:w="5500"/>
            <w:shd w:fill="1332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Mechanism</w:t>
            </w:r>
          </w:p>
        </w:tc>
        <w:tc>
          <w:tcPr>
            <w:tcW w:type="dxa" w:w="2700"/>
            <w:shd w:fill="1332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Verification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Attributable</w:t>
            </w:r>
          </w:p>
        </w:tc>
        <w:tc>
          <w:tcPr>
            <w:tcW w:type="dxa" w:w="5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Every record action carries userId from the verified session; no client-supplied identity; unknown users cannot log in.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OQ-01 (P)</w:t>
            </w:r>
          </w:p>
        </w:tc>
      </w:tr>
      <w:tr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Legible</w:t>
            </w:r>
          </w:p>
        </w:tc>
        <w:tc>
          <w:tcPr>
            <w:tcW w:type="dxa" w:w="55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Data are stored as structured text in PostgreSQL and rendered by the UI.</w:t>
            </w:r>
          </w:p>
        </w:tc>
        <w:tc>
          <w:tcPr>
            <w:tcW w:type="dxa" w:w="27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Not separately tested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Contemporaneous</w:t>
            </w:r>
          </w:p>
        </w:tc>
        <w:tc>
          <w:tcPr>
            <w:tcW w:type="dxa" w:w="5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Audit timestamps are set by the server inside writeAudit.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Code read (P*)</w:t>
            </w:r>
          </w:p>
        </w:tc>
      </w:tr>
      <w:tr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Original</w:t>
            </w:r>
          </w:p>
        </w:tc>
        <w:tc>
          <w:tcPr>
            <w:tcW w:type="dxa" w:w="55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Audit and signature rows are append-only by trigger; hash-chain recomputation detects change.</w:t>
            </w:r>
          </w:p>
        </w:tc>
        <w:tc>
          <w:tcPr>
            <w:tcW w:type="dxa" w:w="27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OQ-05 (P)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Accurate</w:t>
            </w:r>
          </w:p>
        </w:tc>
        <w:tc>
          <w:tcPr>
            <w:tcW w:type="dxa" w:w="5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Strict schemas, optimistic concurrency, signature content hash recomputation.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OQ-03, OQ-06 (P)</w:t>
            </w:r>
          </w:p>
        </w:tc>
      </w:tr>
      <w:tr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Complete</w:t>
            </w:r>
          </w:p>
        </w:tc>
        <w:tc>
          <w:tcPr>
            <w:tcW w:type="dxa" w:w="55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Failed signature attempts are audited; audit sequence is UNIQUE and written under an advisory lock.</w:t>
            </w:r>
          </w:p>
        </w:tc>
        <w:tc>
          <w:tcPr>
            <w:tcW w:type="dxa" w:w="27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OQ-04 (P); concurrency not load-tested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Consistent</w:t>
            </w:r>
          </w:p>
        </w:tc>
        <w:tc>
          <w:tcPr>
            <w:tcW w:type="dxa" w:w="5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Single database transaction per change including audit entry.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Code read (P*)</w:t>
            </w:r>
          </w:p>
        </w:tc>
      </w:tr>
      <w:tr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Enduring</w:t>
            </w:r>
          </w:p>
        </w:tc>
        <w:tc>
          <w:tcPr>
            <w:tcW w:type="dxa" w:w="55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Encrypted, self-verified backup and empty-database-only restore (src/server/backup.ts); schedule and off-PC copy are procedural.</w:t>
            </w:r>
          </w:p>
        </w:tc>
        <w:tc>
          <w:tcPr>
            <w:tcW w:type="dxa" w:w="27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OQ-09 (P); DEV-08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Available</w:t>
            </w:r>
          </w:p>
        </w:tc>
        <w:tc>
          <w:tcPr>
            <w:tcW w:type="dxa" w:w="5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Audit trail readable by Admin/QA; no export for inspection implemented in this scope.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OQ-02 (P)</w:t>
            </w:r>
          </w:p>
        </w:tc>
      </w:tr>
    </w:tbl>
    <w:p>
      <w:pPr>
        <w:pStyle w:val="Heading1"/>
      </w:pPr>
      <w:bookmarkStart w:name="_Toc63" w:id="63"/>
      <w:r>
        <w:t xml:space="preserve">2. Residual risks and compensating controls</w:t>
      </w:r>
      <w:bookmarkEnd w:id="63"/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Owner/administrator credential: anyone who can act as the PostgreSQL owner can drop the triggers and recompute an unkeyed hash chain. Compensating control: file the audit head (GET /api/audit/head) with QA at each audit-trail review and check it at the next; database credentials held by IT, not stored on the operator account where avoidable.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Backups are manual and the passphrase is custody-by-procedure (DEV-08): schedule weekly, copy to the server share, run a quarterly restore test, hold the passphrase with QA/IT.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Shared Windows session: standard Windows users, data-directory ACL, no local administrator rights for daily use.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Non-core modules not qualified (DEV-04); same-transaction audit of every write path established by sampling only (DEV-07).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Legacy accounts keep the old static-salt hash until the password is next changed (verification still works).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Release R3: directory sign-on proves identity only against a fake directory (DEV-2026-10-26-03); the release manifest and the installer are unsigned (DEV-2026-10-26-04); the built-in database is not in the installer yet (DEV-2026-10-26-02); archive bundles are verified by hash, so the archive folder needs the same access control and off-PC copy as the backups.</w:t>
      </w:r>
    </w:p>
    <w:p>
      <w:pPr>
        <w:pStyle w:val="Heading1"/>
      </w:pPr>
      <w:bookmarkStart w:name="_Toc64" w:id="64"/>
      <w:r>
        <w:t xml:space="preserve">Approval</w:t>
      </w:r>
      <w:bookmarkEnd w:id="64"/>
    </w:p>
    <w:tbl>
      <w:tblPr>
        <w:tblW w:type="dxa" w:w="10000"/>
        <w:tblBorders>
          <w:top w:val="single" w:color="C7D2D9" w:sz="4"/>
          <w:left w:val="single" w:color="C7D2D9" w:sz="4"/>
          <w:bottom w:val="single" w:color="C7D2D9" w:sz="4"/>
          <w:right w:val="single" w:color="C7D2D9" w:sz="4"/>
          <w:insideH w:val="single" w:color="C7D2D9" w:sz="4"/>
          <w:insideV w:val="single" w:color="C7D2D9" w:sz="4"/>
        </w:tblBorders>
      </w:tblPr>
      <w:tblGrid>
        <w:gridCol w:w="2400"/>
        <w:gridCol w:w="2530"/>
        <w:gridCol w:w="2530"/>
        <w:gridCol w:w="2540"/>
      </w:tblGrid>
      <w:tr>
        <w:tc>
          <w:tcPr>
            <w:tcW w:type="dxa" w:w="2400"/>
            <w:shd w:fill="13324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530"/>
            <w:shd w:fill="1332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 / Title</w:t>
            </w:r>
          </w:p>
        </w:tc>
        <w:tc>
          <w:tcPr>
            <w:tcW w:type="dxa" w:w="2530"/>
            <w:shd w:fill="1332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540"/>
            <w:shd w:fill="1332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Prepared by (Validation)</w:t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4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Reviewed by (System Owner)</w:t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4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Reviewed by (QA)</w:t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4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Approved by (QA Head)</w:t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4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9" w:sz="6" w:space="4"/>
      </w:pBdr>
      <w:tabs>
        <w:tab w:val="right" w:pos="9026"/>
      </w:tabs>
    </w:pPr>
    <w:r>
      <w:rPr>
        <w:i/>
        <w:iCs/>
        <w:color w:val="5B6B75"/>
        <w:sz w:val="16"/>
        <w:szCs w:val="16"/>
      </w:rPr>
      <w:t xml:space="preserve">CONFIDENTIAL — Internal use only</w:t>
    </w:r>
    <w:r>
      <w:rPr>
        <w:color w:val="5B6B75"/>
        <w:sz w:val="16"/>
        <w:szCs w:val="16"/>
      </w:rPr>
      <w:t xml:space="preserve">	VAL/LIMS/DIA/001  ·  Page </w:t>
    </w:r>
    <w:r>
      <w:rPr>
        <w:color w:val="5B6B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B75"/>
        <w:sz w:val="16"/>
        <w:szCs w:val="16"/>
      </w:rPr>
      <w:t xml:space="preserve"> of </w:t>
    </w:r>
    <w:r>
      <w:rPr>
        <w:color w:val="5B6B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9" w:sz="6" w:space="4"/>
      </w:pBdr>
      <w:tabs>
        <w:tab w:val="right" w:pos="9026"/>
      </w:tabs>
    </w:pPr>
    <w:r>
      <w:rPr>
        <w:b/>
        <w:bCs/>
        <w:color w:val="13324B"/>
        <w:sz w:val="17"/>
        <w:szCs w:val="17"/>
      </w:rPr>
      <w:t xml:space="preserve">Bpharma</w:t>
    </w:r>
    <w:r>
      <w:rPr>
        <w:color w:val="5B6B75"/>
        <w:sz w:val="17"/>
        <w:szCs w:val="17"/>
      </w:rPr>
      <w:t xml:space="preserve">  |  B-Pharma LIMS (desktop edition)</w:t>
    </w:r>
    <w:r>
      <w:rPr>
        <w:color w:val="5B6B75"/>
        <w:sz w:val="17"/>
        <w:szCs w:val="17"/>
      </w:rPr>
      <w:t xml:space="preserve">	VAL/LIMS/DIA/001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2026-10-26T12:27:06.142Z</dcterms:created>
  <dcterms:modified xsi:type="dcterms:W3CDTF">2026-10-26T12:27:06.142Z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