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5B6B75"/>
          <w:sz w:val="20"/>
          <w:szCs w:val="20"/>
        </w:rPr>
        <w:t xml:space="preserve">Bpharma</w:t>
      </w:r>
    </w:p>
    <w:p>
      <w:pPr>
        <w:spacing w:after="60" w:before="0"/>
      </w:pPr>
      <w:r>
        <w:rPr>
          <w:color w:val="5B6B75"/>
          <w:sz w:val="17"/>
          <w:szCs w:val="17"/>
        </w:rPr>
        <w:t xml:space="preserve">Advanced Pharmaceutical Industries Co. Ltd · Jeddah, Kingdom of Saudi Arabia</w:t>
      </w:r>
    </w:p>
    <w:p>
      <w:pPr>
        <w:spacing w:after="60" w:before="400"/>
      </w:pPr>
      <w:r>
        <w:rPr>
          <w:b/>
          <w:bCs/>
          <w:color w:val="2E6F8E"/>
          <w:sz w:val="20"/>
          <w:szCs w:val="20"/>
        </w:rPr>
        <w:t xml:space="preserve">GxP Risk Assessment</w:t>
      </w:r>
    </w:p>
    <w:p>
      <w:pPr>
        <w:pStyle w:val="Title"/>
        <w:spacing w:after="300" w:before="0"/>
      </w:pPr>
      <w:r>
        <w:rPr>
          <w:b/>
          <w:bCs/>
          <w:color w:val="13324B"/>
          <w:sz w:val="44"/>
          <w:szCs w:val="44"/>
        </w:rPr>
        <w:t xml:space="preserve">GxP Risk Assessment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Number</w:t>
            </w:r>
          </w:p>
          <w:p>
            <w:r>
              <w:rPr>
                <w:sz w:val="19"/>
                <w:szCs w:val="19"/>
              </w:rPr>
              <w:t xml:space="preserve">VAL/LIMS/GRA/001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Type</w:t>
            </w:r>
          </w:p>
          <w:p>
            <w:r>
              <w:rPr>
                <w:sz w:val="19"/>
                <w:szCs w:val="19"/>
              </w:rPr>
              <w:t xml:space="preserve">GRA</w:t>
            </w:r>
          </w:p>
        </w:tc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Version</w:t>
            </w:r>
          </w:p>
          <w:p>
            <w:r>
              <w:rPr>
                <w:sz w:val="19"/>
                <w:szCs w:val="19"/>
              </w:rPr>
              <w:t xml:space="preserve">0.1 DRAFT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Effective Date</w:t>
            </w:r>
          </w:p>
          <w:p>
            <w:r>
              <w:rPr>
                <w:sz w:val="19"/>
                <w:szCs w:val="19"/>
              </w:rPr>
              <w:t xml:space="preserve">Pending approval</w:t>
            </w:r>
          </w:p>
        </w:tc>
      </w:tr>
      <w:tr>
        <w:tc>
          <w:tcPr>
            <w:tcW w:type="dxa" w:w="70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System</w:t>
            </w:r>
          </w:p>
          <w:p>
            <w:r>
              <w:rPr>
                <w:sz w:val="19"/>
                <w:szCs w:val="19"/>
              </w:rPr>
              <w:t xml:space="preserve">B-Pharma LIMS (desktop edition)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GAMP Category</w:t>
            </w:r>
          </w:p>
          <w:p>
            <w:r>
              <w:rPr>
                <w:sz w:val="19"/>
                <w:szCs w:val="19"/>
              </w:rPr>
              <w:t xml:space="preserve">Category 5 — Custom Application</w:t>
            </w:r>
          </w:p>
        </w:tc>
      </w:tr>
    </w:tbl>
    <w:p>
      <w:pPr>
        <w:spacing w:after="0" w:before="500"/>
      </w:pPr>
      <w:r>
        <w:br w:type="page"/>
      </w:r>
    </w:p>
    <w:tbl>
      <w:tblPr>
        <w:tblW w:type="dxa" w:w="10000"/>
        <w:tblBorders>
          <w:top w:val="single" w:color="D98A2B" w:sz="4"/>
          <w:left w:val="single" w:color="D98A2B" w:sz="16"/>
          <w:bottom w:val="single" w:color="D98A2B" w:sz="4"/>
          <w:right w:val="single" w:color="D98A2B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FBEE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D98A2B"/>
                <w:sz w:val="18"/>
                <w:szCs w:val="18"/>
              </w:rPr>
              <w:t xml:space="preserve">Note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DRAFT. No approval signatures have been applied. Requirement identifiers in this package were created by this package (no approved URS existed); the System Owner must review and approve them. Technical execution recorded here was performed by an AI assistant (Claude); a qualified human reviewer must review the evidence and countersign.</w:t>
            </w:r>
          </w:p>
        </w:tc>
      </w:tr>
    </w:tbl>
    <w:p>
      <w:pPr>
        <w:pStyle w:val="Heading1"/>
      </w:pPr>
      <w:bookmarkStart w:name="_Toc51" w:id="51"/>
      <w:r>
        <w:t xml:space="preserve">Contents</w:t>
      </w:r>
      <w:bookmarkEnd w:id="51"/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5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2">
            <w:r>
              <w:t xml:space="preserve">1. Method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3">
            <w:r>
              <w:t xml:space="preserve">2. GAMP category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4">
            <w:r>
              <w:t xml:space="preserve">3. Assessment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5">
            <w:r>
              <w:t xml:space="preserve">4. Consequence for testing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6">
            <w:r>
              <w:t xml:space="preserve">Approval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</w:pPr>
      <w:bookmarkStart w:name="_Toc52" w:id="52"/>
      <w:r>
        <w:t xml:space="preserve">1. Method</w:t>
      </w:r>
      <w:bookmarkEnd w:id="52"/>
    </w:p>
    <w:p>
      <w:pPr>
        <w:spacing w:after="160"/>
      </w:pPr>
      <w:r>
        <w:rPr>
          <w:b w:val="false"/>
          <w:bCs w:val="false"/>
          <w:i w:val="false"/>
          <w:iCs w:val="false"/>
          <w:color w:val="1A2530"/>
          <w:sz w:val="21"/>
          <w:szCs w:val="21"/>
        </w:rPr>
        <w:t xml:space="preserve">RPN = Severity x Likelihood x Detectability (each 1-5; Detectability 5 = hard to detect). RPN &gt;= 50 High (OQ plus PQ), 15-49 Medium (OQ), &lt; 15 Low. Scores are the author's proposal and require QA confirmation.</w:t>
      </w:r>
    </w:p>
    <w:p>
      <w:pPr>
        <w:pStyle w:val="Heading1"/>
      </w:pPr>
      <w:bookmarkStart w:name="_Toc53" w:id="53"/>
      <w:r>
        <w:t xml:space="preserve">2. GAMP category</w:t>
      </w:r>
      <w:bookmarkEnd w:id="53"/>
    </w:p>
    <w:p>
      <w:pPr>
        <w:spacing w:after="160"/>
      </w:pPr>
      <w:r>
        <w:rPr>
          <w:b w:val="false"/>
          <w:bCs w:val="false"/>
          <w:i w:val="false"/>
          <w:iCs w:val="false"/>
          <w:color w:val="1A2530"/>
          <w:sz w:val="21"/>
          <w:szCs w:val="21"/>
        </w:rPr>
        <w:t xml:space="preserve">Category 5.</w:t>
      </w:r>
    </w:p>
    <w:p>
      <w:pPr>
        <w:pStyle w:val="Heading1"/>
      </w:pPr>
      <w:bookmarkStart w:name="_Toc54" w:id="54"/>
      <w:r>
        <w:t xml:space="preserve">3. Assessment</w:t>
      </w:r>
      <w:bookmarkEnd w:id="54"/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300"/>
        <w:gridCol w:w="450"/>
        <w:gridCol w:w="450"/>
        <w:gridCol w:w="450"/>
        <w:gridCol w:w="650"/>
        <w:gridCol w:w="800"/>
        <w:gridCol w:w="4900"/>
      </w:tblGrid>
      <w:tr>
        <w:trPr>
          <w:tblHeader/>
        </w:trPr>
        <w:tc>
          <w:tcPr>
            <w:tcW w:type="dxa" w:w="23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45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45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45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W w:type="dxa" w:w="65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RPN</w:t>
            </w:r>
          </w:p>
        </w:tc>
        <w:tc>
          <w:tcPr>
            <w:tcW w:type="dxa" w:w="8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49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Authentication &amp; session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 forged or unauthenticated session allows any record to be changed under another identity.</w:t>
            </w:r>
          </w:p>
        </w:tc>
      </w:tr>
      <w:tr>
        <w:tc>
          <w:tcPr>
            <w:tcW w:type="dxa" w:w="2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Authorisation &amp; workflow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Wrong role or skipped state could release an unapproved batch; a later independent review might catch it.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Electronic signatures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Signature without genuine re-authentication or with unverifiable integrity is legally void under Part 11.</w:t>
            </w:r>
          </w:p>
        </w:tc>
      </w:tr>
      <w:tr>
        <w:tc>
          <w:tcPr>
            <w:tcW w:type="dxa" w:w="2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Audit trail integrity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6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Silent loss or rewrite of history; structural controls (hash chain, triggers) make it detectable, anchors cover owner-level rewrite.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Desktop deployment &amp; secrets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Credentials reachable from the shared Windows session; local administrator can bypass application controls.</w:t>
            </w:r>
          </w:p>
        </w:tc>
      </w:tr>
      <w:tr>
        <w:tc>
          <w:tcPr>
            <w:tcW w:type="dxa" w:w="2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Backup &amp; recovery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75</w:t>
            </w:r>
          </w:p>
        </w:tc>
        <w:tc>
          <w:tcPr>
            <w:tcW w:type="dxa" w:w="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4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Loss of the single PC database is undetectable until needed; no function exists.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Non-core modules (ELN, OOS, stability, environmental, reagents, instruments, training, reports)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Not individually qualified in this release (see DEV-04).</w:t>
            </w:r>
          </w:p>
        </w:tc>
      </w:tr>
      <w:tr>
        <w:tc>
          <w:tcPr>
            <w:tcW w:type="dxa" w:w="2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Results, raw data and calculations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 wrong or unattributable value reaches a certificate; versions, hashes, review gates and server calculation make change visible.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Instrument capture and machine integration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Machine-entered values bypass the bench; acceptance by a named analyst, scopes and idempotency limit that.</w:t>
            </w:r>
          </w:p>
        </w:tc>
      </w:tr>
      <w:tr>
        <w:tc>
          <w:tcPr>
            <w:tcW w:type="dxa" w:w="2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Certificates, OOS and quality records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 certificate or a closure that misstates compliance releases a batch wrongly.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Controlled documents, training and custody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Uncontrolled documents or unqualified analysts; unreceived or overdrawn samples.</w:t>
            </w:r>
          </w:p>
        </w:tc>
      </w:tr>
      <w:tr>
        <w:tc>
          <w:tcPr>
            <w:tcW w:type="dxa" w:w="2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Reagents, stability and environmental monitoring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Expired material or missed time points go unnoticed; the programmes compute them without user action.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Audit trail hardening and validated scope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Rewriting history as the database owner; a module used without qualification.</w:t>
            </w:r>
          </w:p>
        </w:tc>
      </w:tr>
      <w:tr>
        <w:tc>
          <w:tcPr>
            <w:tcW w:type="dxa" w:w="2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SPC and trending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 wrong control limit or a missed rule violation hides a drift; the output is advisory and writes nothing to a result, sample or release.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Directory sign-on and signatures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 mis-mapped group or a weak directory connection grants a role or a signature to the wrong person; verified TLS, QA-signed mappings and the local lock limit it. Not tested against a real Active Directory.</w:t>
            </w:r>
          </w:p>
        </w:tc>
      </w:tr>
      <w:tr>
        <w:tc>
          <w:tcPr>
            <w:tcW w:type="dxa" w:w="2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Periodic review, retention and archive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An archive that does not verify, or records that change after archiving, loses the legal record.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Global search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 role sees a record it may not open; groups are filtered by the same permissions as the screens.</w:t>
            </w:r>
          </w:p>
        </w:tc>
      </w:tr>
      <w:tr>
        <w:tc>
          <w:tcPr>
            <w:tcW w:type="dxa" w:w="2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Arabic/English interface and formatting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 misread decimal or an ambiguous date changes a result or a record; one parsing rule on the screen and the server, fixed formats, Arabic wording is a draft.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Installer and release integrity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An installer that does not match its manifest cannot be trusted, and a broken one stops all work; the check runs at every start and on a Windows runner before publishing.</w:t>
            </w:r>
          </w:p>
        </w:tc>
      </w:tr>
      <w:tr>
        <w:tc>
          <w:tcPr>
            <w:tcW w:type="dxa" w:w="2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Built-in database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 database without least privilege or supervision loses data or exposes it to other accounts; not exercised on Windows and not yet bundled.</w:t>
            </w:r>
          </w:p>
        </w:tc>
      </w:tr>
    </w:tbl>
    <w:p>
      <w:pPr>
        <w:pStyle w:val="Heading1"/>
      </w:pPr>
      <w:bookmarkStart w:name="_Toc55" w:id="55"/>
      <w:r>
        <w:t xml:space="preserve">4. Consequence for testing</w:t>
      </w:r>
      <w:bookmarkEnd w:id="55"/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Authentication &amp; session: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Authorisation &amp; workflow: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Electronic signatures: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Audit trail integrity: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Desktop deployment &amp; secrets: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Backup &amp; recovery: High - OQ + PQ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Non-core modules (ELN, OOS, stability, environmental, reagents, instruments, training, reports):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Results, raw data and calculations: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Instrument capture and machine integration: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Certificates, OOS and quality records: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Controlled documents, training and custody: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Reagents, stability and environmental monitoring: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Audit trail hardening and validated scope: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SPC and trending: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Directory sign-on and signatures: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Periodic review, retention and archive: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Global search: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Arabic/English interface and formatting: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Installer and release integrity: Medium - OQ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Built-in database: Medium - OQ</w:t>
      </w:r>
    </w:p>
    <w:p>
      <w:pPr>
        <w:pStyle w:val="Heading1"/>
      </w:pPr>
      <w:bookmarkStart w:name="_Toc56" w:id="56"/>
      <w:r>
        <w:t xml:space="preserve">Approval</w:t>
      </w:r>
      <w:bookmarkEnd w:id="56"/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400"/>
        <w:gridCol w:w="2530"/>
        <w:gridCol w:w="2530"/>
        <w:gridCol w:w="2540"/>
      </w:tblGrid>
      <w:tr>
        <w:tc>
          <w:tcPr>
            <w:tcW w:type="dxa" w:w="2400"/>
            <w:shd w:fill="13324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/ Title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54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Prepared by (Validation)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(System Owner)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(QA)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Approved by (QA Head)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9" w:sz="6" w:space="4"/>
      </w:pBdr>
      <w:tabs>
        <w:tab w:val="right" w:pos="9026"/>
      </w:tabs>
    </w:pPr>
    <w:r>
      <w:rPr>
        <w:i/>
        <w:iCs/>
        <w:color w:val="5B6B75"/>
        <w:sz w:val="16"/>
        <w:szCs w:val="16"/>
      </w:rPr>
      <w:t xml:space="preserve">CONFIDENTIAL — Internal use only</w:t>
    </w:r>
    <w:r>
      <w:rPr>
        <w:color w:val="5B6B75"/>
        <w:sz w:val="16"/>
        <w:szCs w:val="16"/>
      </w:rPr>
      <w:t xml:space="preserve">	VAL/LIMS/GRA/001  ·  Page </w:t>
    </w:r>
    <w:r>
      <w:rPr>
        <w:color w:val="5B6B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5"/>
        <w:sz w:val="16"/>
        <w:szCs w:val="16"/>
      </w:rPr>
      <w:t xml:space="preserve"> of </w:t>
    </w:r>
    <w:r>
      <w:rPr>
        <w:color w:val="5B6B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9" w:sz="6" w:space="4"/>
      </w:pBdr>
      <w:tabs>
        <w:tab w:val="right" w:pos="9026"/>
      </w:tabs>
    </w:pPr>
    <w:r>
      <w:rPr>
        <w:b/>
        <w:bCs/>
        <w:color w:val="13324B"/>
        <w:sz w:val="17"/>
        <w:szCs w:val="17"/>
      </w:rPr>
      <w:t xml:space="preserve">Bpharma</w:t>
    </w:r>
    <w:r>
      <w:rPr>
        <w:color w:val="5B6B75"/>
        <w:sz w:val="17"/>
        <w:szCs w:val="17"/>
      </w:rPr>
      <w:t xml:space="preserve">  |  B-Pharma LIMS (desktop edition)</w:t>
    </w:r>
    <w:r>
      <w:rPr>
        <w:color w:val="5B6B75"/>
        <w:sz w:val="17"/>
        <w:szCs w:val="17"/>
      </w:rPr>
      <w:t xml:space="preserve">	VAL/LIMS/GRA/001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2026-10-26T12:27:05.667Z</dcterms:created>
  <dcterms:modified xsi:type="dcterms:W3CDTF">2026-10-26T12:27:05.667Z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