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Data Integrity Assessment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Data Integrity Assessment (ALCOA+)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VAL/LIMS/DIA/001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DIA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p>
      <w:pPr>
        <w:pStyle w:val="Heading1"/>
      </w:pPr>
      <w:bookmarkStart w:name="_Toc54" w:id="54"/>
      <w:r>
        <w:t xml:space="preserve">Contents</w:t>
      </w:r>
      <w:bookmarkEnd w:id="54"/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54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5">
            <w:r>
              <w:t xml:space="preserve">1. ALCOA+ against mechanisms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6">
            <w:r>
              <w:t xml:space="preserve">2. Residual risks and compensating controls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7">
            <w:r>
              <w:t xml:space="preserve">Approval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55" w:id="55"/>
      <w:r>
        <w:t xml:space="preserve">1. ALCOA+ against mechanisms</w:t>
      </w:r>
      <w:bookmarkEnd w:id="55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1800"/>
        <w:gridCol w:w="5500"/>
        <w:gridCol w:w="2700"/>
      </w:tblGrid>
      <w:tr>
        <w:trPr>
          <w:tblHeader/>
        </w:trPr>
        <w:tc>
          <w:tcPr>
            <w:tcW w:type="dxa" w:w="18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Principle</w:t>
            </w:r>
          </w:p>
        </w:tc>
        <w:tc>
          <w:tcPr>
            <w:tcW w:type="dxa" w:w="55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Mechanism</w:t>
            </w:r>
          </w:p>
        </w:tc>
        <w:tc>
          <w:tcPr>
            <w:tcW w:type="dxa" w:w="270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Verification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Attributable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Every record action carries userId from the verified session; no client-supplied identity; unknown users cannot log in.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OQ-01 (P)</w:t>
            </w:r>
          </w:p>
        </w:tc>
      </w:tr>
      <w:tr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Legible</w:t>
            </w:r>
          </w:p>
        </w:tc>
        <w:tc>
          <w:tcPr>
            <w:tcW w:type="dxa" w:w="55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Data are stored as structured text in PostgreSQL and rendered by the UI.</w:t>
            </w:r>
          </w:p>
        </w:tc>
        <w:tc>
          <w:tcPr>
            <w:tcW w:type="dxa" w:w="2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Not separately tested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Contemporaneous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Audit timestamps are set by the server inside writeAudit.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Code read (P*)</w:t>
            </w:r>
          </w:p>
        </w:tc>
      </w:tr>
      <w:tr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Original</w:t>
            </w:r>
          </w:p>
        </w:tc>
        <w:tc>
          <w:tcPr>
            <w:tcW w:type="dxa" w:w="55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Audit and signature rows are append-only by trigger; hash-chain recomputation detects change.</w:t>
            </w:r>
          </w:p>
        </w:tc>
        <w:tc>
          <w:tcPr>
            <w:tcW w:type="dxa" w:w="2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OQ-05 (P)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Accurate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Strict schemas, optimistic concurrency, signature content hash recomputation.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OQ-03, OQ-06 (P)</w:t>
            </w:r>
          </w:p>
        </w:tc>
      </w:tr>
      <w:tr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Complete</w:t>
            </w:r>
          </w:p>
        </w:tc>
        <w:tc>
          <w:tcPr>
            <w:tcW w:type="dxa" w:w="55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Failed signature attempts are audited; audit sequence is UNIQUE and written under an advisory lock.</w:t>
            </w:r>
          </w:p>
        </w:tc>
        <w:tc>
          <w:tcPr>
            <w:tcW w:type="dxa" w:w="2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OQ-04 (P); concurrency not load-tested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Consistent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Single database transaction per change including audit entry.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Code read (P*)</w:t>
            </w:r>
          </w:p>
        </w:tc>
      </w:tr>
      <w:tr>
        <w:tc>
          <w:tcPr>
            <w:tcW w:type="dxa" w:w="18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Enduring</w:t>
            </w:r>
          </w:p>
        </w:tc>
        <w:tc>
          <w:tcPr>
            <w:tcW w:type="dxa" w:w="55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Encrypted, self-verified backup and empty-database-only restore (src/server/backup.ts); schedule and off-PC copy are procedural.</w:t>
            </w:r>
          </w:p>
        </w:tc>
        <w:tc>
          <w:tcPr>
            <w:tcW w:type="dxa" w:w="2700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OQ-09 (P); DEV-08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Available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Audit trail readable by Admin/QA; no export for inspection implemented in this scope.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7"/>
                <w:szCs w:val="17"/>
              </w:rPr>
              <w:t xml:space="preserve">OQ-02 (P)</w:t>
            </w:r>
          </w:p>
        </w:tc>
      </w:tr>
    </w:tbl>
    <w:p>
      <w:pPr>
        <w:pStyle w:val="Heading1"/>
      </w:pPr>
      <w:bookmarkStart w:name="_Toc56" w:id="56"/>
      <w:r>
        <w:t xml:space="preserve">2. Residual risks and compensating controls</w:t>
      </w:r>
      <w:bookmarkEnd w:id="56"/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Owner/administrator credential: anyone who can act as the PostgreSQL owner can drop the triggers and recompute an unkeyed hash chain. Compensating control: file the audit head (GET /api/audit/head) with QA at each audit-trail review and check it at the next; database credentials held by IT, not stored on the operator account where avoidable.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Backups are manual and the passphrase is custody-by-procedure (DEV-08): schedule weekly, copy to the server share, run a quarterly restore test, hold the passphrase with QA/IT.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Shared Windows session: standard Windows users, data-directory ACL, no local administrator rights for daily use.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Non-core modules not qualified (DEV-04); same-transaction audit of every write path established by sampling only (DEV-07).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Legacy accounts keep the old static-salt hash until the password is next changed (verification still works).</w:t>
      </w:r>
    </w:p>
    <w:p>
      <w:pPr>
        <w:pStyle w:val="Heading1"/>
      </w:pPr>
      <w:bookmarkStart w:name="_Toc57" w:id="57"/>
      <w:r>
        <w:t xml:space="preserve">Approval</w:t>
      </w:r>
      <w:bookmarkEnd w:id="57"/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VAL/LIMS/DIA/001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VAL/LIMS/DIA/001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2026-10-25T17:36:06.688Z</dcterms:created>
  <dcterms:modified xsi:type="dcterms:W3CDTF">2026-10-25T17:36:06.688Z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