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GxP Risk Assessment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GxP Risk Assessment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VAL/LIMS/GRA/001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GRA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p>
      <w:pPr>
        <w:pStyle w:val="Heading1"/>
      </w:pPr>
      <w:bookmarkStart w:name="_Toc44" w:id="44"/>
      <w:r>
        <w:t xml:space="preserve">Contents</w:t>
      </w:r>
      <w:bookmarkEnd w:id="44"/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4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1. Method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2. GAMP category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3. Assessment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4. Consequence for testing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9">
            <w:r>
              <w:t xml:space="preserve">Approval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45" w:id="45"/>
      <w:r>
        <w:t xml:space="preserve">1. Method</w:t>
      </w:r>
      <w:bookmarkEnd w:id="45"/>
    </w:p>
    <w:p>
      <w:pPr>
        <w:spacing w:after="160"/>
      </w:pPr>
      <w:r>
        <w:rPr>
          <w:b w:val="false"/>
          <w:bCs w:val="false"/>
          <w:i w:val="false"/>
          <w:iCs w:val="false"/>
          <w:color w:val="1A2530"/>
          <w:sz w:val="21"/>
          <w:szCs w:val="21"/>
        </w:rPr>
        <w:t xml:space="preserve">RPN = Severity x Likelihood x Detectability (each 1-5; Detectability 5 = hard to detect). RPN &gt;= 50 High (OQ plus PQ), 15-49 Medium (OQ), &lt; 15 Low. Scores are the author's proposal and require QA confirmation.</w:t>
      </w:r>
    </w:p>
    <w:p>
      <w:pPr>
        <w:pStyle w:val="Heading1"/>
      </w:pPr>
      <w:bookmarkStart w:name="_Toc46" w:id="46"/>
      <w:r>
        <w:t xml:space="preserve">2. GAMP category</w:t>
      </w:r>
      <w:bookmarkEnd w:id="46"/>
    </w:p>
    <w:p>
      <w:pPr>
        <w:spacing w:after="160"/>
      </w:pPr>
      <w:r>
        <w:rPr>
          <w:b w:val="false"/>
          <w:bCs w:val="false"/>
          <w:i w:val="false"/>
          <w:iCs w:val="false"/>
          <w:color w:val="1A2530"/>
          <w:sz w:val="21"/>
          <w:szCs w:val="21"/>
        </w:rPr>
        <w:t xml:space="preserve">Category 5.</w:t>
      </w:r>
    </w:p>
    <w:p>
      <w:pPr>
        <w:pStyle w:val="Heading1"/>
      </w:pPr>
      <w:bookmarkStart w:name="_Toc47" w:id="47"/>
      <w:r>
        <w:t xml:space="preserve">3. Assessment</w:t>
      </w:r>
      <w:bookmarkEnd w:id="47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300"/>
        <w:gridCol w:w="450"/>
        <w:gridCol w:w="450"/>
        <w:gridCol w:w="450"/>
        <w:gridCol w:w="650"/>
        <w:gridCol w:w="800"/>
        <w:gridCol w:w="4900"/>
      </w:tblGrid>
      <w:tr>
        <w:trPr>
          <w:tblHeader/>
        </w:trPr>
        <w:tc>
          <w:tcPr>
            <w:tcW w:type="dxa" w:w="23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5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</w:t>
            </w:r>
          </w:p>
        </w:tc>
        <w:tc>
          <w:tcPr>
            <w:tcW w:type="dxa" w:w="45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tcW w:type="dxa" w:w="45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RPN</w:t>
            </w:r>
          </w:p>
        </w:tc>
        <w:tc>
          <w:tcPr>
            <w:tcW w:type="dxa" w:w="8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9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Authentication &amp; session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 forged or unauthenticated session allows any record to be changed under another identity.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Authorisation &amp; workflow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Wrong role or skipped state could release an unapproved batch; a later independent review might catch it.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Electronic signatures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Signature without genuine re-authentication or with unverifiable integrity is legally void under Part 11.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Audit trail integrity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Silent loss or rewrite of history; structural controls (hash chain, triggers) make it detectable, anchors cover owner-level rewrite.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Desktop deployment &amp; secrets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Credentials reachable from the shared Windows session; local administrator can bypass application controls.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Backup &amp; recovery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Loss of the single PC database is undetectable until needed; no function exists.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Non-core modules (ELN, OOS, stability, environmental, reagents, instruments, training, reports)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Not individually qualified in this release (see DEV-04).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Results, raw data and calculations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 wrong or unattributable value reaches a certificate; versions, hashes, review gates and server calculation make change visible.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Instrument capture and machine integration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Machine-entered values bypass the bench; acceptance by a named analyst, scopes and idempotency limit that.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Certificates, OOS and quality records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 certificate or a closure that misstates compliance releases a batch wrongly.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Controlled documents, training and custody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Uncontrolled documents or unqualified analysts; unreceived or overdrawn samples.</w:t>
            </w:r>
          </w:p>
        </w:tc>
      </w:tr>
      <w:tr>
        <w:tc>
          <w:tcPr>
            <w:tcW w:type="dxa" w:w="23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Reagents, stability and environmental monitoring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Expired material or missed time points go unnoticed; the programmes compute them without user action.</w:t>
            </w:r>
          </w:p>
        </w:tc>
      </w:tr>
      <w:t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Audit trail hardening and validated scope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4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Rewriting history as the database owner; a module used without qualification.</w:t>
            </w:r>
          </w:p>
        </w:tc>
      </w:tr>
    </w:tbl>
    <w:p>
      <w:pPr>
        <w:pStyle w:val="Heading1"/>
      </w:pPr>
      <w:bookmarkStart w:name="_Toc48" w:id="48"/>
      <w:r>
        <w:t xml:space="preserve">4. Consequence for testing</w:t>
      </w:r>
      <w:bookmarkEnd w:id="48"/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Authentication &amp; session: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Authorisation &amp; workflow: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Electronic signatures: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Audit trail integrity: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Desktop deployment &amp; secrets: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Backup &amp; recovery: High - OQ + PQ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Non-core modules (ELN, OOS, stability, environmental, reagents, instruments, training, reports):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Results, raw data and calculations: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Instrument capture and machine integration: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Certificates, OOS and quality records: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Controlled documents, training and custody: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Reagents, stability and environmental monitoring: Medium - OQ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Audit trail hardening and validated scope: Medium - OQ</w:t>
      </w:r>
    </w:p>
    <w:p>
      <w:pPr>
        <w:pStyle w:val="Heading1"/>
      </w:pPr>
      <w:bookmarkStart w:name="_Toc49" w:id="49"/>
      <w:r>
        <w:t xml:space="preserve">Approval</w:t>
      </w:r>
      <w:bookmarkEnd w:id="49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VAL/LIMS/GRA/001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VAL/LIMS/GRA/001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2026-10-25T17:36:06.335Z</dcterms:created>
  <dcterms:modified xsi:type="dcterms:W3CDTF">2026-10-25T17:36:06.335Z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