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b/>
          <w:color w:val="1F4E79"/>
          <w:sz w:val="30"/>
        </w:rPr>
        <w:t>Final-Three Runtime Behaviour Analysis</w:t>
      </w:r>
    </w:p>
    <w:p>
      <w:pPr>
        <w:spacing w:after="100" w:line="259" w:lineRule="auto"/>
      </w:pPr>
      <w:r>
        <w:rPr>
          <w:rFonts w:ascii="Times New Roman" w:hAnsi="Times New Roman"/>
          <w:sz w:val="22"/>
        </w:rPr>
        <w:t>After the wider portfolio study had reduced the candidate space, the retained algorithms were examined as a separate runtime behaviour problem. The purpose of this analysis was to explain the structure of the final three-class selection task rather than only report aggregate model accuracy. The study therefore recomputes the fastest label from the measured runtimes of introsort, heapsort, and timsort, then relates these labels to structural features, prediction success, failure type, and regret.</w:t>
      </w:r>
    </w:p>
    <w:p>
      <w:pPr>
        <w:spacing w:after="100" w:line="259" w:lineRule="auto"/>
      </w:pPr>
      <w:r>
        <w:rPr>
          <w:rFonts w:ascii="Times New Roman" w:hAnsi="Times New Roman"/>
          <w:sz w:val="22"/>
        </w:rPr>
        <w:t>The analysis uses 303,223 labelled arrays from the existing training dataset. The virtual best solver total runtime is 6.623571 seconds, while the single best solver total runtime is 8.495169 seconds using heapsort. The remaining SBS-to-VBS gap is 22.03 percent, which means that the final three algorithms still contain meaningful room for per-instance selection.</w:t>
      </w:r>
    </w:p>
    <w:p>
      <w:pPr>
        <w:spacing w:before="120" w:after="80"/>
      </w:pPr>
      <w:r>
        <w:rPr>
          <w:rFonts w:ascii="Times New Roman" w:hAnsi="Times New Roman"/>
          <w:b/>
          <w:color w:val="1F4E79"/>
          <w:sz w:val="24"/>
        </w:rPr>
        <w:t>Winner Distribution Inside the Final Portfolio</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vAlign w:val="center"/>
          </w:tcPr>
          <w:p>
            <w:pPr>
              <w:jc w:val="center"/>
            </w:pPr>
            <w:r/>
            <w:r>
              <w:rPr>
                <w:rFonts w:ascii="Times New Roman" w:hAnsi="Times New Roman"/>
                <w:b/>
                <w:color w:val="FFFFFF"/>
                <w:sz w:val="19"/>
              </w:rPr>
              <w:t>Algorithm</w:t>
            </w:r>
          </w:p>
        </w:tc>
        <w:tc>
          <w:tcPr>
            <w:tcW w:type="dxa" w:w="3264"/>
            <w:shd w:fill="1F4E79"/>
            <w:vAlign w:val="center"/>
          </w:tcPr>
          <w:p>
            <w:pPr>
              <w:jc w:val="center"/>
            </w:pPr>
            <w:r/>
            <w:r>
              <w:rPr>
                <w:rFonts w:ascii="Times New Roman" w:hAnsi="Times New Roman"/>
                <w:b/>
                <w:color w:val="FFFFFF"/>
                <w:sz w:val="19"/>
              </w:rPr>
              <w:t>Fastest cases</w:t>
            </w:r>
          </w:p>
        </w:tc>
        <w:tc>
          <w:tcPr>
            <w:tcW w:type="dxa" w:w="3264"/>
            <w:shd w:fill="1F4E79"/>
            <w:vAlign w:val="center"/>
          </w:tcPr>
          <w:p>
            <w:pPr>
              <w:jc w:val="center"/>
            </w:pPr>
            <w:r/>
            <w:r>
              <w:rPr>
                <w:rFonts w:ascii="Times New Roman" w:hAnsi="Times New Roman"/>
                <w:b/>
                <w:color w:val="FFFFFF"/>
                <w:sz w:val="19"/>
              </w:rPr>
              <w:t>Share</w:t>
            </w:r>
          </w:p>
        </w:tc>
      </w:tr>
      <w:tr>
        <w:tc>
          <w:tcPr>
            <w:tcW w:type="dxa" w:w="3264"/>
            <w:vAlign w:val="center"/>
          </w:tcPr>
          <w:p>
            <w:pPr>
              <w:jc w:val="center"/>
            </w:pPr>
            <w:r/>
            <w:r>
              <w:rPr>
                <w:rFonts w:ascii="Times New Roman" w:hAnsi="Times New Roman"/>
                <w:b w:val="0"/>
                <w:sz w:val="19"/>
              </w:rPr>
              <w:t>introsort</w:t>
            </w:r>
          </w:p>
        </w:tc>
        <w:tc>
          <w:tcPr>
            <w:tcW w:type="dxa" w:w="3264"/>
            <w:vAlign w:val="center"/>
          </w:tcPr>
          <w:p>
            <w:pPr>
              <w:jc w:val="center"/>
            </w:pPr>
            <w:r/>
            <w:r>
              <w:rPr>
                <w:rFonts w:ascii="Times New Roman" w:hAnsi="Times New Roman"/>
                <w:b w:val="0"/>
                <w:sz w:val="19"/>
              </w:rPr>
              <w:t>15,434</w:t>
            </w:r>
          </w:p>
        </w:tc>
        <w:tc>
          <w:tcPr>
            <w:tcW w:type="dxa" w:w="3264"/>
            <w:vAlign w:val="center"/>
          </w:tcPr>
          <w:p>
            <w:pPr>
              <w:jc w:val="center"/>
            </w:pPr>
            <w:r/>
            <w:r>
              <w:rPr>
                <w:rFonts w:ascii="Times New Roman" w:hAnsi="Times New Roman"/>
                <w:b w:val="0"/>
                <w:sz w:val="19"/>
              </w:rPr>
              <w:t>5.09%</w:t>
            </w:r>
          </w:p>
        </w:tc>
      </w:tr>
      <w:tr>
        <w:tc>
          <w:tcPr>
            <w:tcW w:type="dxa" w:w="3264"/>
            <w:vAlign w:val="center"/>
          </w:tcPr>
          <w:p>
            <w:pPr>
              <w:jc w:val="center"/>
            </w:pPr>
            <w:r/>
            <w:r>
              <w:rPr>
                <w:rFonts w:ascii="Times New Roman" w:hAnsi="Times New Roman"/>
                <w:b w:val="0"/>
                <w:sz w:val="19"/>
              </w:rPr>
              <w:t>heapsort</w:t>
            </w:r>
          </w:p>
        </w:tc>
        <w:tc>
          <w:tcPr>
            <w:tcW w:type="dxa" w:w="3264"/>
            <w:vAlign w:val="center"/>
          </w:tcPr>
          <w:p>
            <w:pPr>
              <w:jc w:val="center"/>
            </w:pPr>
            <w:r/>
            <w:r>
              <w:rPr>
                <w:rFonts w:ascii="Times New Roman" w:hAnsi="Times New Roman"/>
                <w:b w:val="0"/>
                <w:sz w:val="19"/>
              </w:rPr>
              <w:t>46,711</w:t>
            </w:r>
          </w:p>
        </w:tc>
        <w:tc>
          <w:tcPr>
            <w:tcW w:type="dxa" w:w="3264"/>
            <w:vAlign w:val="center"/>
          </w:tcPr>
          <w:p>
            <w:pPr>
              <w:jc w:val="center"/>
            </w:pPr>
            <w:r/>
            <w:r>
              <w:rPr>
                <w:rFonts w:ascii="Times New Roman" w:hAnsi="Times New Roman"/>
                <w:b w:val="0"/>
                <w:sz w:val="19"/>
              </w:rPr>
              <w:t>15.40%</w:t>
            </w:r>
          </w:p>
        </w:tc>
      </w:tr>
      <w:tr>
        <w:tc>
          <w:tcPr>
            <w:tcW w:type="dxa" w:w="3264"/>
            <w:vAlign w:val="center"/>
          </w:tcPr>
          <w:p>
            <w:pPr>
              <w:jc w:val="center"/>
            </w:pPr>
            <w:r/>
            <w:r>
              <w:rPr>
                <w:rFonts w:ascii="Times New Roman" w:hAnsi="Times New Roman"/>
                <w:b w:val="0"/>
                <w:sz w:val="19"/>
              </w:rPr>
              <w:t>timsort</w:t>
            </w:r>
          </w:p>
        </w:tc>
        <w:tc>
          <w:tcPr>
            <w:tcW w:type="dxa" w:w="3264"/>
            <w:vAlign w:val="center"/>
          </w:tcPr>
          <w:p>
            <w:pPr>
              <w:jc w:val="center"/>
            </w:pPr>
            <w:r/>
            <w:r>
              <w:rPr>
                <w:rFonts w:ascii="Times New Roman" w:hAnsi="Times New Roman"/>
                <w:b w:val="0"/>
                <w:sz w:val="19"/>
              </w:rPr>
              <w:t>241,078</w:t>
            </w:r>
          </w:p>
        </w:tc>
        <w:tc>
          <w:tcPr>
            <w:tcW w:type="dxa" w:w="3264"/>
            <w:vAlign w:val="center"/>
          </w:tcPr>
          <w:p>
            <w:pPr>
              <w:jc w:val="center"/>
            </w:pPr>
            <w:r/>
            <w:r>
              <w:rPr>
                <w:rFonts w:ascii="Times New Roman" w:hAnsi="Times New Roman"/>
                <w:b w:val="0"/>
                <w:sz w:val="19"/>
              </w:rPr>
              <w:t>79.51%</w:t>
            </w:r>
          </w:p>
        </w:tc>
      </w:tr>
    </w:tbl>
    <w:p/>
    <w:p>
      <w:pPr>
        <w:spacing w:after="100" w:line="259" w:lineRule="auto"/>
      </w:pPr>
      <w:r>
        <w:rPr>
          <w:rFonts w:ascii="Times New Roman" w:hAnsi="Times New Roman"/>
          <w:sz w:val="22"/>
        </w:rPr>
        <w:t>The winner distribution is not balanced. Timsort is the dominant fastest algorithm, but heapsort and introsort still form non-trivial regions of the empirical space. This confirms that the final task is not a simple fixed-algorithm problem: the majority class is strong, but using only the majority class would leave measurable runtime regret in the regions where the other algorithms are faster.</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baseline_winner_share.png"/>
                    <pic:cNvPicPr/>
                  </pic:nvPicPr>
                  <pic:blipFill>
                    <a:blip r:embed="rId9"/>
                    <a:stretch>
                      <a:fillRect/>
                    </a:stretch>
                  </pic:blipFill>
                  <pic:spPr>
                    <a:xfrm>
                      <a:off x="0" y="0"/>
                      <a:ext cx="5394960" cy="3082834"/>
                    </a:xfrm>
                    <a:prstGeom prst="rect"/>
                  </pic:spPr>
                </pic:pic>
              </a:graphicData>
            </a:graphic>
          </wp:inline>
        </w:drawing>
      </w:r>
    </w:p>
    <w:p>
      <w:pPr>
        <w:spacing w:before="60" w:after="140"/>
        <w:jc w:val="center"/>
      </w:pPr>
      <w:r>
        <w:rPr>
          <w:rFonts w:ascii="Times New Roman" w:hAnsi="Times New Roman"/>
          <w:i/>
          <w:color w:val="595959"/>
          <w:sz w:val="18"/>
        </w:rPr>
        <w:t>Figure X. Fastest-algorithm share inside the final three-algorithm portfolio.</w:t>
      </w:r>
    </w:p>
    <w:p>
      <w:pPr>
        <w:spacing w:before="120" w:after="80"/>
      </w:pPr>
      <w:r>
        <w:rPr>
          <w:rFonts w:ascii="Times New Roman" w:hAnsi="Times New Roman"/>
          <w:b/>
          <w:color w:val="1F4E79"/>
          <w:sz w:val="24"/>
        </w:rPr>
        <w:t>Domain-Level Behaviour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F4E79"/>
            <w:vAlign w:val="center"/>
          </w:tcPr>
          <w:p>
            <w:pPr>
              <w:jc w:val="center"/>
            </w:pPr>
            <w:r/>
            <w:r>
              <w:rPr>
                <w:rFonts w:ascii="Times New Roman" w:hAnsi="Times New Roman"/>
                <w:b/>
                <w:color w:val="FFFFFF"/>
                <w:sz w:val="19"/>
              </w:rPr>
              <w:t>Domain</w:t>
            </w:r>
          </w:p>
        </w:tc>
        <w:tc>
          <w:tcPr>
            <w:tcW w:type="dxa" w:w="1632"/>
            <w:shd w:fill="1F4E79"/>
            <w:vAlign w:val="center"/>
          </w:tcPr>
          <w:p>
            <w:pPr>
              <w:jc w:val="center"/>
            </w:pPr>
            <w:r/>
            <w:r>
              <w:rPr>
                <w:rFonts w:ascii="Times New Roman" w:hAnsi="Times New Roman"/>
                <w:b/>
                <w:color w:val="FFFFFF"/>
                <w:sz w:val="19"/>
              </w:rPr>
              <w:t>Rows</w:t>
            </w:r>
          </w:p>
        </w:tc>
        <w:tc>
          <w:tcPr>
            <w:tcW w:type="dxa" w:w="1632"/>
            <w:shd w:fill="1F4E79"/>
            <w:vAlign w:val="center"/>
          </w:tcPr>
          <w:p>
            <w:pPr>
              <w:jc w:val="center"/>
            </w:pPr>
            <w:r/>
            <w:r>
              <w:rPr>
                <w:rFonts w:ascii="Times New Roman" w:hAnsi="Times New Roman"/>
                <w:b/>
                <w:color w:val="FFFFFF"/>
                <w:sz w:val="19"/>
              </w:rPr>
              <w:t>Dominant</w:t>
            </w:r>
          </w:p>
        </w:tc>
        <w:tc>
          <w:tcPr>
            <w:tcW w:type="dxa" w:w="1632"/>
            <w:shd w:fill="1F4E79"/>
            <w:vAlign w:val="center"/>
          </w:tcPr>
          <w:p>
            <w:pPr>
              <w:jc w:val="center"/>
            </w:pPr>
            <w:r/>
            <w:r>
              <w:rPr>
                <w:rFonts w:ascii="Times New Roman" w:hAnsi="Times New Roman"/>
                <w:b/>
                <w:color w:val="FFFFFF"/>
                <w:sz w:val="19"/>
              </w:rPr>
              <w:t>Dominant share</w:t>
            </w:r>
          </w:p>
        </w:tc>
        <w:tc>
          <w:tcPr>
            <w:tcW w:type="dxa" w:w="1632"/>
            <w:shd w:fill="1F4E79"/>
            <w:vAlign w:val="center"/>
          </w:tcPr>
          <w:p>
            <w:pPr>
              <w:jc w:val="center"/>
            </w:pPr>
            <w:r/>
            <w:r>
              <w:rPr>
                <w:rFonts w:ascii="Times New Roman" w:hAnsi="Times New Roman"/>
                <w:b/>
                <w:color w:val="FFFFFF"/>
                <w:sz w:val="19"/>
              </w:rPr>
              <w:t>Prediction success</w:t>
            </w:r>
          </w:p>
        </w:tc>
        <w:tc>
          <w:tcPr>
            <w:tcW w:type="dxa" w:w="1632"/>
            <w:shd w:fill="1F4E79"/>
            <w:vAlign w:val="center"/>
          </w:tcPr>
          <w:p>
            <w:pPr>
              <w:jc w:val="center"/>
            </w:pPr>
            <w:r/>
            <w:r>
              <w:rPr>
                <w:rFonts w:ascii="Times New Roman" w:hAnsi="Times New Roman"/>
                <w:b/>
                <w:color w:val="FFFFFF"/>
                <w:sz w:val="19"/>
              </w:rPr>
              <w:t>Mean regret (us)</w:t>
            </w:r>
          </w:p>
        </w:tc>
      </w:tr>
      <w:tr>
        <w:tc>
          <w:tcPr>
            <w:tcW w:type="dxa" w:w="1632"/>
            <w:vAlign w:val="center"/>
          </w:tcPr>
          <w:p>
            <w:pPr>
              <w:jc w:val="center"/>
            </w:pPr>
            <w:r/>
            <w:r>
              <w:rPr>
                <w:rFonts w:ascii="Times New Roman" w:hAnsi="Times New Roman"/>
                <w:b w:val="0"/>
                <w:sz w:val="19"/>
              </w:rPr>
              <w:t>Crypto</w:t>
            </w:r>
          </w:p>
        </w:tc>
        <w:tc>
          <w:tcPr>
            <w:tcW w:type="dxa" w:w="1632"/>
            <w:vAlign w:val="center"/>
          </w:tcPr>
          <w:p>
            <w:pPr>
              <w:jc w:val="center"/>
            </w:pPr>
            <w:r/>
            <w:r>
              <w:rPr>
                <w:rFonts w:ascii="Times New Roman" w:hAnsi="Times New Roman"/>
                <w:b w:val="0"/>
                <w:sz w:val="19"/>
              </w:rPr>
              <w:t>100,000</w:t>
            </w:r>
          </w:p>
        </w:tc>
        <w:tc>
          <w:tcPr>
            <w:tcW w:type="dxa" w:w="1632"/>
            <w:vAlign w:val="center"/>
          </w:tcPr>
          <w:p>
            <w:pPr>
              <w:jc w:val="center"/>
            </w:pPr>
            <w:r/>
            <w:r>
              <w:rPr>
                <w:rFonts w:ascii="Times New Roman" w:hAnsi="Times New Roman"/>
                <w:b w:val="0"/>
                <w:sz w:val="19"/>
              </w:rPr>
              <w:t>timsort</w:t>
            </w:r>
          </w:p>
        </w:tc>
        <w:tc>
          <w:tcPr>
            <w:tcW w:type="dxa" w:w="1632"/>
            <w:vAlign w:val="center"/>
          </w:tcPr>
          <w:p>
            <w:pPr>
              <w:jc w:val="center"/>
            </w:pPr>
            <w:r/>
            <w:r>
              <w:rPr>
                <w:rFonts w:ascii="Times New Roman" w:hAnsi="Times New Roman"/>
                <w:b w:val="0"/>
                <w:sz w:val="19"/>
              </w:rPr>
              <w:t>85.1%</w:t>
            </w:r>
          </w:p>
        </w:tc>
        <w:tc>
          <w:tcPr>
            <w:tcW w:type="dxa" w:w="1632"/>
            <w:vAlign w:val="center"/>
          </w:tcPr>
          <w:p>
            <w:pPr>
              <w:jc w:val="center"/>
            </w:pPr>
            <w:r/>
            <w:r>
              <w:rPr>
                <w:rFonts w:ascii="Times New Roman" w:hAnsi="Times New Roman"/>
                <w:b w:val="0"/>
                <w:sz w:val="19"/>
              </w:rPr>
              <w:t>88.62%</w:t>
            </w:r>
          </w:p>
        </w:tc>
        <w:tc>
          <w:tcPr>
            <w:tcW w:type="dxa" w:w="1632"/>
            <w:vAlign w:val="center"/>
          </w:tcPr>
          <w:p>
            <w:pPr>
              <w:jc w:val="center"/>
            </w:pPr>
            <w:r/>
            <w:r>
              <w:rPr>
                <w:rFonts w:ascii="Times New Roman" w:hAnsi="Times New Roman"/>
                <w:b w:val="0"/>
                <w:sz w:val="19"/>
              </w:rPr>
              <w:t>0.32</w:t>
            </w:r>
          </w:p>
        </w:tc>
      </w:tr>
      <w:tr>
        <w:tc>
          <w:tcPr>
            <w:tcW w:type="dxa" w:w="1632"/>
            <w:vAlign w:val="center"/>
          </w:tcPr>
          <w:p>
            <w:pPr>
              <w:jc w:val="center"/>
            </w:pPr>
            <w:r/>
            <w:r>
              <w:rPr>
                <w:rFonts w:ascii="Times New Roman" w:hAnsi="Times New Roman"/>
                <w:b w:val="0"/>
                <w:sz w:val="19"/>
              </w:rPr>
              <w:t>Stock</w:t>
            </w:r>
          </w:p>
        </w:tc>
        <w:tc>
          <w:tcPr>
            <w:tcW w:type="dxa" w:w="1632"/>
            <w:vAlign w:val="center"/>
          </w:tcPr>
          <w:p>
            <w:pPr>
              <w:jc w:val="center"/>
            </w:pPr>
            <w:r/>
            <w:r>
              <w:rPr>
                <w:rFonts w:ascii="Times New Roman" w:hAnsi="Times New Roman"/>
                <w:b w:val="0"/>
                <w:sz w:val="19"/>
              </w:rPr>
              <w:t>100,000</w:t>
            </w:r>
          </w:p>
        </w:tc>
        <w:tc>
          <w:tcPr>
            <w:tcW w:type="dxa" w:w="1632"/>
            <w:vAlign w:val="center"/>
          </w:tcPr>
          <w:p>
            <w:pPr>
              <w:jc w:val="center"/>
            </w:pPr>
            <w:r/>
            <w:r>
              <w:rPr>
                <w:rFonts w:ascii="Times New Roman" w:hAnsi="Times New Roman"/>
                <w:b w:val="0"/>
                <w:sz w:val="19"/>
              </w:rPr>
              <w:t>timsort</w:t>
            </w:r>
          </w:p>
        </w:tc>
        <w:tc>
          <w:tcPr>
            <w:tcW w:type="dxa" w:w="1632"/>
            <w:vAlign w:val="center"/>
          </w:tcPr>
          <w:p>
            <w:pPr>
              <w:jc w:val="center"/>
            </w:pPr>
            <w:r/>
            <w:r>
              <w:rPr>
                <w:rFonts w:ascii="Times New Roman" w:hAnsi="Times New Roman"/>
                <w:b w:val="0"/>
                <w:sz w:val="19"/>
              </w:rPr>
              <w:t>82.2%</w:t>
            </w:r>
          </w:p>
        </w:tc>
        <w:tc>
          <w:tcPr>
            <w:tcW w:type="dxa" w:w="1632"/>
            <w:vAlign w:val="center"/>
          </w:tcPr>
          <w:p>
            <w:pPr>
              <w:jc w:val="center"/>
            </w:pPr>
            <w:r/>
            <w:r>
              <w:rPr>
                <w:rFonts w:ascii="Times New Roman" w:hAnsi="Times New Roman"/>
                <w:b w:val="0"/>
                <w:sz w:val="19"/>
              </w:rPr>
              <w:t>89.57%</w:t>
            </w:r>
          </w:p>
        </w:tc>
        <w:tc>
          <w:tcPr>
            <w:tcW w:type="dxa" w:w="1632"/>
            <w:vAlign w:val="center"/>
          </w:tcPr>
          <w:p>
            <w:pPr>
              <w:jc w:val="center"/>
            </w:pPr>
            <w:r/>
            <w:r>
              <w:rPr>
                <w:rFonts w:ascii="Times New Roman" w:hAnsi="Times New Roman"/>
                <w:b w:val="0"/>
                <w:sz w:val="19"/>
              </w:rPr>
              <w:t>0.45</w:t>
            </w:r>
          </w:p>
        </w:tc>
      </w:tr>
      <w:tr>
        <w:tc>
          <w:tcPr>
            <w:tcW w:type="dxa" w:w="1632"/>
            <w:vAlign w:val="center"/>
          </w:tcPr>
          <w:p>
            <w:pPr>
              <w:jc w:val="center"/>
            </w:pPr>
            <w:r/>
            <w:r>
              <w:rPr>
                <w:rFonts w:ascii="Times New Roman" w:hAnsi="Times New Roman"/>
                <w:b w:val="0"/>
                <w:sz w:val="19"/>
              </w:rPr>
              <w:t>Earthquake</w:t>
            </w:r>
          </w:p>
        </w:tc>
        <w:tc>
          <w:tcPr>
            <w:tcW w:type="dxa" w:w="1632"/>
            <w:vAlign w:val="center"/>
          </w:tcPr>
          <w:p>
            <w:pPr>
              <w:jc w:val="center"/>
            </w:pPr>
            <w:r/>
            <w:r>
              <w:rPr>
                <w:rFonts w:ascii="Times New Roman" w:hAnsi="Times New Roman"/>
                <w:b w:val="0"/>
                <w:sz w:val="19"/>
              </w:rPr>
              <w:t>100,003</w:t>
            </w:r>
          </w:p>
        </w:tc>
        <w:tc>
          <w:tcPr>
            <w:tcW w:type="dxa" w:w="1632"/>
            <w:vAlign w:val="center"/>
          </w:tcPr>
          <w:p>
            <w:pPr>
              <w:jc w:val="center"/>
            </w:pPr>
            <w:r/>
            <w:r>
              <w:rPr>
                <w:rFonts w:ascii="Times New Roman" w:hAnsi="Times New Roman"/>
                <w:b w:val="0"/>
                <w:sz w:val="19"/>
              </w:rPr>
              <w:t>timsort</w:t>
            </w:r>
          </w:p>
        </w:tc>
        <w:tc>
          <w:tcPr>
            <w:tcW w:type="dxa" w:w="1632"/>
            <w:vAlign w:val="center"/>
          </w:tcPr>
          <w:p>
            <w:pPr>
              <w:jc w:val="center"/>
            </w:pPr>
            <w:r/>
            <w:r>
              <w:rPr>
                <w:rFonts w:ascii="Times New Roman" w:hAnsi="Times New Roman"/>
                <w:b w:val="0"/>
                <w:sz w:val="19"/>
              </w:rPr>
              <w:t>72.6%</w:t>
            </w:r>
          </w:p>
        </w:tc>
        <w:tc>
          <w:tcPr>
            <w:tcW w:type="dxa" w:w="1632"/>
            <w:vAlign w:val="center"/>
          </w:tcPr>
          <w:p>
            <w:pPr>
              <w:jc w:val="center"/>
            </w:pPr>
            <w:r/>
            <w:r>
              <w:rPr>
                <w:rFonts w:ascii="Times New Roman" w:hAnsi="Times New Roman"/>
                <w:b w:val="0"/>
                <w:sz w:val="19"/>
              </w:rPr>
              <w:t>86.60%</w:t>
            </w:r>
          </w:p>
        </w:tc>
        <w:tc>
          <w:tcPr>
            <w:tcW w:type="dxa" w:w="1632"/>
            <w:vAlign w:val="center"/>
          </w:tcPr>
          <w:p>
            <w:pPr>
              <w:jc w:val="center"/>
            </w:pPr>
            <w:r/>
            <w:r>
              <w:rPr>
                <w:rFonts w:ascii="Times New Roman" w:hAnsi="Times New Roman"/>
                <w:b w:val="0"/>
                <w:sz w:val="19"/>
              </w:rPr>
              <w:t>0.20</w:t>
            </w:r>
          </w:p>
        </w:tc>
      </w:tr>
      <w:tr>
        <w:tc>
          <w:tcPr>
            <w:tcW w:type="dxa" w:w="1632"/>
            <w:vAlign w:val="center"/>
          </w:tcPr>
          <w:p>
            <w:pPr>
              <w:jc w:val="center"/>
            </w:pPr>
            <w:r/>
            <w:r>
              <w:rPr>
                <w:rFonts w:ascii="Times New Roman" w:hAnsi="Times New Roman"/>
                <w:b w:val="0"/>
                <w:sz w:val="19"/>
              </w:rPr>
              <w:t>Weather</w:t>
            </w:r>
          </w:p>
        </w:tc>
        <w:tc>
          <w:tcPr>
            <w:tcW w:type="dxa" w:w="1632"/>
            <w:vAlign w:val="center"/>
          </w:tcPr>
          <w:p>
            <w:pPr>
              <w:jc w:val="center"/>
            </w:pPr>
            <w:r/>
            <w:r>
              <w:rPr>
                <w:rFonts w:ascii="Times New Roman" w:hAnsi="Times New Roman"/>
                <w:b w:val="0"/>
                <w:sz w:val="19"/>
              </w:rPr>
              <w:t>3,220</w:t>
            </w:r>
          </w:p>
        </w:tc>
        <w:tc>
          <w:tcPr>
            <w:tcW w:type="dxa" w:w="1632"/>
            <w:vAlign w:val="center"/>
          </w:tcPr>
          <w:p>
            <w:pPr>
              <w:jc w:val="center"/>
            </w:pPr>
            <w:r/>
            <w:r>
              <w:rPr>
                <w:rFonts w:ascii="Times New Roman" w:hAnsi="Times New Roman"/>
                <w:b w:val="0"/>
                <w:sz w:val="19"/>
              </w:rPr>
              <w:t>heapsort</w:t>
            </w:r>
          </w:p>
        </w:tc>
        <w:tc>
          <w:tcPr>
            <w:tcW w:type="dxa" w:w="1632"/>
            <w:vAlign w:val="center"/>
          </w:tcPr>
          <w:p>
            <w:pPr>
              <w:jc w:val="center"/>
            </w:pPr>
            <w:r/>
            <w:r>
              <w:rPr>
                <w:rFonts w:ascii="Times New Roman" w:hAnsi="Times New Roman"/>
                <w:b w:val="0"/>
                <w:sz w:val="19"/>
              </w:rPr>
              <w:t>39.4%</w:t>
            </w:r>
          </w:p>
        </w:tc>
        <w:tc>
          <w:tcPr>
            <w:tcW w:type="dxa" w:w="1632"/>
            <w:vAlign w:val="center"/>
          </w:tcPr>
          <w:p>
            <w:pPr>
              <w:jc w:val="center"/>
            </w:pPr>
            <w:r/>
            <w:r>
              <w:rPr>
                <w:rFonts w:ascii="Times New Roman" w:hAnsi="Times New Roman"/>
                <w:b w:val="0"/>
                <w:sz w:val="19"/>
              </w:rPr>
              <w:t>65.47%</w:t>
            </w:r>
          </w:p>
        </w:tc>
        <w:tc>
          <w:tcPr>
            <w:tcW w:type="dxa" w:w="1632"/>
            <w:vAlign w:val="center"/>
          </w:tcPr>
          <w:p>
            <w:pPr>
              <w:jc w:val="center"/>
            </w:pPr>
            <w:r/>
            <w:r>
              <w:rPr>
                <w:rFonts w:ascii="Times New Roman" w:hAnsi="Times New Roman"/>
                <w:b w:val="0"/>
                <w:sz w:val="19"/>
              </w:rPr>
              <w:t>5.22</w:t>
            </w:r>
          </w:p>
        </w:tc>
      </w:tr>
    </w:tbl>
    <w:p/>
    <w:p>
      <w:pPr>
        <w:spacing w:after="100" w:line="259" w:lineRule="auto"/>
      </w:pPr>
      <w:r>
        <w:rPr>
          <w:rFonts w:ascii="Times New Roman" w:hAnsi="Times New Roman"/>
          <w:sz w:val="22"/>
        </w:rPr>
        <w:t>The final portfolio behaves differently across the data sources. Crypto, Stock, and Earthquake are dominated by timsort, while Weather is more mixed and has lower success. This does not mean that element count alone determines regret. The harder cases are created by the combination of source structure, timing margin, and the algorithm selected by the classifier.</w:t>
      </w:r>
    </w:p>
    <w:p>
      <w:pPr>
        <w:jc w:val="center"/>
      </w:pPr>
      <w:r>
        <w:drawing>
          <wp:inline xmlns:a="http://schemas.openxmlformats.org/drawingml/2006/main" xmlns:pic="http://schemas.openxmlformats.org/drawingml/2006/picture">
            <wp:extent cx="5394960" cy="3046566"/>
            <wp:docPr id="2" name="Picture 2"/>
            <wp:cNvGraphicFramePr>
              <a:graphicFrameLocks noChangeAspect="1"/>
            </wp:cNvGraphicFramePr>
            <a:graphic>
              <a:graphicData uri="http://schemas.openxmlformats.org/drawingml/2006/picture">
                <pic:pic>
                  <pic:nvPicPr>
                    <pic:cNvPr id="0" name="domain_winner_patterns.png"/>
                    <pic:cNvPicPr/>
                  </pic:nvPicPr>
                  <pic:blipFill>
                    <a:blip r:embed="rId10"/>
                    <a:stretch>
                      <a:fillRect/>
                    </a:stretch>
                  </pic:blipFill>
                  <pic:spPr>
                    <a:xfrm>
                      <a:off x="0" y="0"/>
                      <a:ext cx="5394960" cy="3046566"/>
                    </a:xfrm>
                    <a:prstGeom prst="rect"/>
                  </pic:spPr>
                </pic:pic>
              </a:graphicData>
            </a:graphic>
          </wp:inline>
        </w:drawing>
      </w:r>
    </w:p>
    <w:p>
      <w:pPr>
        <w:spacing w:before="60" w:after="140"/>
        <w:jc w:val="center"/>
      </w:pPr>
      <w:r>
        <w:rPr>
          <w:rFonts w:ascii="Times New Roman" w:hAnsi="Times New Roman"/>
          <w:i/>
          <w:color w:val="595959"/>
          <w:sz w:val="18"/>
        </w:rPr>
        <w:t>Figure X. Winner distribution by domain for the final three algorithms.</w:t>
      </w:r>
    </w:p>
    <w:p>
      <w:pPr>
        <w:spacing w:before="120" w:after="80"/>
      </w:pPr>
      <w:r>
        <w:rPr>
          <w:rFonts w:ascii="Times New Roman" w:hAnsi="Times New Roman"/>
          <w:b/>
          <w:color w:val="1F4E79"/>
          <w:sz w:val="24"/>
        </w:rPr>
        <w:t>Structural Conditions Behind Correct Prediction</w:t>
      </w:r>
    </w:p>
    <w:p>
      <w:pPr>
        <w:spacing w:after="100" w:line="259" w:lineRule="auto"/>
      </w:pPr>
      <w:r>
        <w:rPr>
          <w:rFonts w:ascii="Times New Roman" w:hAnsi="Times New Roman"/>
          <w:sz w:val="22"/>
        </w:rPr>
        <w:t>Correct prediction is strongest when the measured runtime winner is supported by clear structural evidence. High sortedness, low inversion ratio, and consistent run structure create regions where timsort dominates almost completely. In these regions the model is not merely learning a label frequency; it is detecting the same structural pattern that makes the runtime measurement favour timsort.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vAlign w:val="center"/>
          </w:tcPr>
          <w:p>
            <w:pPr>
              <w:jc w:val="center"/>
            </w:pPr>
            <w:r/>
            <w:r>
              <w:rPr>
                <w:rFonts w:ascii="Times New Roman" w:hAnsi="Times New Roman"/>
                <w:b/>
                <w:color w:val="FFFFFF"/>
                <w:sz w:val="19"/>
              </w:rPr>
              <w:t>True class</w:t>
            </w:r>
          </w:p>
        </w:tc>
        <w:tc>
          <w:tcPr>
            <w:tcW w:type="dxa" w:w="1958"/>
            <w:shd w:fill="1F4E79"/>
            <w:vAlign w:val="center"/>
          </w:tcPr>
          <w:p>
            <w:pPr>
              <w:jc w:val="center"/>
            </w:pPr>
            <w:r/>
            <w:r>
              <w:rPr>
                <w:rFonts w:ascii="Times New Roman" w:hAnsi="Times New Roman"/>
                <w:b/>
                <w:color w:val="FFFFFF"/>
                <w:sz w:val="19"/>
              </w:rPr>
              <w:t>Feature</w:t>
            </w:r>
          </w:p>
        </w:tc>
        <w:tc>
          <w:tcPr>
            <w:tcW w:type="dxa" w:w="1958"/>
            <w:shd w:fill="1F4E79"/>
            <w:vAlign w:val="center"/>
          </w:tcPr>
          <w:p>
            <w:pPr>
              <w:jc w:val="center"/>
            </w:pPr>
            <w:r/>
            <w:r>
              <w:rPr>
                <w:rFonts w:ascii="Times New Roman" w:hAnsi="Times New Roman"/>
                <w:b/>
                <w:color w:val="FFFFFF"/>
                <w:sz w:val="19"/>
              </w:rPr>
              <w:t>Region</w:t>
            </w:r>
          </w:p>
        </w:tc>
        <w:tc>
          <w:tcPr>
            <w:tcW w:type="dxa" w:w="1958"/>
            <w:shd w:fill="1F4E79"/>
            <w:vAlign w:val="center"/>
          </w:tcPr>
          <w:p>
            <w:pPr>
              <w:jc w:val="center"/>
            </w:pPr>
            <w:r/>
            <w:r>
              <w:rPr>
                <w:rFonts w:ascii="Times New Roman" w:hAnsi="Times New Roman"/>
                <w:b/>
                <w:color w:val="FFFFFF"/>
                <w:sz w:val="19"/>
              </w:rPr>
              <w:t>Success</w:t>
            </w:r>
          </w:p>
        </w:tc>
        <w:tc>
          <w:tcPr>
            <w:tcW w:type="dxa" w:w="1958"/>
            <w:shd w:fill="1F4E79"/>
            <w:vAlign w:val="center"/>
          </w:tcPr>
          <w:p>
            <w:pPr>
              <w:jc w:val="center"/>
            </w:pPr>
            <w:r/>
            <w:r>
              <w:rPr>
                <w:rFonts w:ascii="Times New Roman" w:hAnsi="Times New Roman"/>
                <w:b/>
                <w:color w:val="FFFFFF"/>
                <w:sz w:val="19"/>
              </w:rPr>
              <w:t>Median margin (us)</w:t>
            </w:r>
          </w:p>
        </w:tc>
      </w:tr>
      <w:tr>
        <w:tc>
          <w:tcPr>
            <w:tcW w:type="dxa" w:w="1958"/>
            <w:vAlign w:val="center"/>
          </w:tcPr>
          <w:p>
            <w:pPr>
              <w:jc w:val="center"/>
            </w:pPr>
            <w:r/>
            <w:r>
              <w:rPr>
                <w:rFonts w:ascii="Times New Roman" w:hAnsi="Times New Roman"/>
                <w:b w:val="0"/>
                <w:sz w:val="19"/>
              </w:rPr>
              <w:t>heapsort</w:t>
            </w:r>
          </w:p>
        </w:tc>
        <w:tc>
          <w:tcPr>
            <w:tcW w:type="dxa" w:w="1958"/>
            <w:vAlign w:val="center"/>
          </w:tcPr>
          <w:p>
            <w:pPr>
              <w:jc w:val="center"/>
            </w:pPr>
            <w:r/>
            <w:r>
              <w:rPr>
                <w:rFonts w:ascii="Times New Roman" w:hAnsi="Times New Roman"/>
                <w:b w:val="0"/>
                <w:sz w:val="19"/>
              </w:rPr>
              <w:t>top5_freq_ratio</w:t>
            </w:r>
          </w:p>
        </w:tc>
        <w:tc>
          <w:tcPr>
            <w:tcW w:type="dxa" w:w="1958"/>
            <w:vAlign w:val="center"/>
          </w:tcPr>
          <w:p>
            <w:pPr>
              <w:jc w:val="center"/>
            </w:pPr>
            <w:r/>
            <w:r>
              <w:rPr>
                <w:rFonts w:ascii="Times New Roman" w:hAnsi="Times New Roman"/>
                <w:b w:val="0"/>
                <w:sz w:val="19"/>
              </w:rPr>
              <w:t>0.8477 to 1</w:t>
            </w:r>
          </w:p>
        </w:tc>
        <w:tc>
          <w:tcPr>
            <w:tcW w:type="dxa" w:w="1958"/>
            <w:vAlign w:val="center"/>
          </w:tcPr>
          <w:p>
            <w:pPr>
              <w:jc w:val="center"/>
            </w:pPr>
            <w:r/>
            <w:r>
              <w:rPr>
                <w:rFonts w:ascii="Times New Roman" w:hAnsi="Times New Roman"/>
                <w:b w:val="0"/>
                <w:sz w:val="19"/>
              </w:rPr>
              <w:t>95.8%</w:t>
            </w:r>
          </w:p>
        </w:tc>
        <w:tc>
          <w:tcPr>
            <w:tcW w:type="dxa" w:w="1958"/>
            <w:vAlign w:val="center"/>
          </w:tcPr>
          <w:p>
            <w:pPr>
              <w:jc w:val="center"/>
            </w:pPr>
            <w:r/>
            <w:r>
              <w:rPr>
                <w:rFonts w:ascii="Times New Roman" w:hAnsi="Times New Roman"/>
                <w:b w:val="0"/>
                <w:sz w:val="19"/>
              </w:rPr>
              <w:t>0.13</w:t>
            </w:r>
          </w:p>
        </w:tc>
      </w:tr>
      <w:tr>
        <w:tc>
          <w:tcPr>
            <w:tcW w:type="dxa" w:w="1958"/>
            <w:vAlign w:val="center"/>
          </w:tcPr>
          <w:p>
            <w:pPr>
              <w:jc w:val="center"/>
            </w:pPr>
            <w:r/>
            <w:r>
              <w:rPr>
                <w:rFonts w:ascii="Times New Roman" w:hAnsi="Times New Roman"/>
                <w:b w:val="0"/>
                <w:sz w:val="19"/>
              </w:rPr>
              <w:t>heapsort</w:t>
            </w:r>
          </w:p>
        </w:tc>
        <w:tc>
          <w:tcPr>
            <w:tcW w:type="dxa" w:w="1958"/>
            <w:vAlign w:val="center"/>
          </w:tcPr>
          <w:p>
            <w:pPr>
              <w:jc w:val="center"/>
            </w:pPr>
            <w:r/>
            <w:r>
              <w:rPr>
                <w:rFonts w:ascii="Times New Roman" w:hAnsi="Times New Roman"/>
                <w:b w:val="0"/>
                <w:sz w:val="19"/>
              </w:rPr>
              <w:t>mad_norm</w:t>
            </w:r>
          </w:p>
        </w:tc>
        <w:tc>
          <w:tcPr>
            <w:tcW w:type="dxa" w:w="1958"/>
            <w:vAlign w:val="center"/>
          </w:tcPr>
          <w:p>
            <w:pPr>
              <w:jc w:val="center"/>
            </w:pPr>
            <w:r/>
            <w:r>
              <w:rPr>
                <w:rFonts w:ascii="Times New Roman" w:hAnsi="Times New Roman"/>
                <w:b w:val="0"/>
                <w:sz w:val="19"/>
              </w:rPr>
              <w:t>0.02041 to 0.02041</w:t>
            </w:r>
          </w:p>
        </w:tc>
        <w:tc>
          <w:tcPr>
            <w:tcW w:type="dxa" w:w="1958"/>
            <w:vAlign w:val="center"/>
          </w:tcPr>
          <w:p>
            <w:pPr>
              <w:jc w:val="center"/>
            </w:pPr>
            <w:r/>
            <w:r>
              <w:rPr>
                <w:rFonts w:ascii="Times New Roman" w:hAnsi="Times New Roman"/>
                <w:b w:val="0"/>
                <w:sz w:val="19"/>
              </w:rPr>
              <w:t>95.0%</w:t>
            </w:r>
          </w:p>
        </w:tc>
        <w:tc>
          <w:tcPr>
            <w:tcW w:type="dxa" w:w="1958"/>
            <w:vAlign w:val="center"/>
          </w:tcPr>
          <w:p>
            <w:pPr>
              <w:jc w:val="center"/>
            </w:pPr>
            <w:r/>
            <w:r>
              <w:rPr>
                <w:rFonts w:ascii="Times New Roman" w:hAnsi="Times New Roman"/>
                <w:b w:val="0"/>
                <w:sz w:val="19"/>
              </w:rPr>
              <w:t>0.21</w:t>
            </w:r>
          </w:p>
        </w:tc>
      </w:tr>
      <w:tr>
        <w:tc>
          <w:tcPr>
            <w:tcW w:type="dxa" w:w="1958"/>
            <w:vAlign w:val="center"/>
          </w:tcPr>
          <w:p>
            <w:pPr>
              <w:jc w:val="center"/>
            </w:pPr>
            <w:r/>
            <w:r>
              <w:rPr>
                <w:rFonts w:ascii="Times New Roman" w:hAnsi="Times New Roman"/>
                <w:b w:val="0"/>
                <w:sz w:val="19"/>
              </w:rPr>
              <w:t>heapsort</w:t>
            </w:r>
          </w:p>
        </w:tc>
        <w:tc>
          <w:tcPr>
            <w:tcW w:type="dxa" w:w="1958"/>
            <w:vAlign w:val="center"/>
          </w:tcPr>
          <w:p>
            <w:pPr>
              <w:jc w:val="center"/>
            </w:pPr>
            <w:r/>
            <w:r>
              <w:rPr>
                <w:rFonts w:ascii="Times New Roman" w:hAnsi="Times New Roman"/>
                <w:b w:val="0"/>
                <w:sz w:val="19"/>
              </w:rPr>
              <w:t>duplicate_ratio</w:t>
            </w:r>
          </w:p>
        </w:tc>
        <w:tc>
          <w:tcPr>
            <w:tcW w:type="dxa" w:w="1958"/>
            <w:vAlign w:val="center"/>
          </w:tcPr>
          <w:p>
            <w:pPr>
              <w:jc w:val="center"/>
            </w:pPr>
            <w:r/>
            <w:r>
              <w:rPr>
                <w:rFonts w:ascii="Times New Roman" w:hAnsi="Times New Roman"/>
                <w:b w:val="0"/>
                <w:sz w:val="19"/>
              </w:rPr>
              <w:t>0.954 to 0.9706</w:t>
            </w:r>
          </w:p>
        </w:tc>
        <w:tc>
          <w:tcPr>
            <w:tcW w:type="dxa" w:w="1958"/>
            <w:vAlign w:val="center"/>
          </w:tcPr>
          <w:p>
            <w:pPr>
              <w:jc w:val="center"/>
            </w:pPr>
            <w:r/>
            <w:r>
              <w:rPr>
                <w:rFonts w:ascii="Times New Roman" w:hAnsi="Times New Roman"/>
                <w:b w:val="0"/>
                <w:sz w:val="19"/>
              </w:rPr>
              <w:t>94.8%</w:t>
            </w:r>
          </w:p>
        </w:tc>
        <w:tc>
          <w:tcPr>
            <w:tcW w:type="dxa" w:w="1958"/>
            <w:vAlign w:val="center"/>
          </w:tcPr>
          <w:p>
            <w:pPr>
              <w:jc w:val="center"/>
            </w:pPr>
            <w:r/>
            <w:r>
              <w:rPr>
                <w:rFonts w:ascii="Times New Roman" w:hAnsi="Times New Roman"/>
                <w:b w:val="0"/>
                <w:sz w:val="19"/>
              </w:rPr>
              <w:t>0.17</w:t>
            </w:r>
          </w:p>
        </w:tc>
      </w:tr>
      <w:tr>
        <w:tc>
          <w:tcPr>
            <w:tcW w:type="dxa" w:w="1958"/>
            <w:vAlign w:val="center"/>
          </w:tcPr>
          <w:p>
            <w:pPr>
              <w:jc w:val="center"/>
            </w:pPr>
            <w:r/>
            <w:r>
              <w:rPr>
                <w:rFonts w:ascii="Times New Roman" w:hAnsi="Times New Roman"/>
                <w:b w:val="0"/>
                <w:sz w:val="19"/>
              </w:rPr>
              <w:t>heapsort</w:t>
            </w:r>
          </w:p>
        </w:tc>
        <w:tc>
          <w:tcPr>
            <w:tcW w:type="dxa" w:w="1958"/>
            <w:vAlign w:val="center"/>
          </w:tcPr>
          <w:p>
            <w:pPr>
              <w:jc w:val="center"/>
            </w:pPr>
            <w:r/>
            <w:r>
              <w:rPr>
                <w:rFonts w:ascii="Times New Roman" w:hAnsi="Times New Roman"/>
                <w:b w:val="0"/>
                <w:sz w:val="19"/>
              </w:rPr>
              <w:t>duplicate_ratio</w:t>
            </w:r>
          </w:p>
        </w:tc>
        <w:tc>
          <w:tcPr>
            <w:tcW w:type="dxa" w:w="1958"/>
            <w:vAlign w:val="center"/>
          </w:tcPr>
          <w:p>
            <w:pPr>
              <w:jc w:val="center"/>
            </w:pPr>
            <w:r/>
            <w:r>
              <w:rPr>
                <w:rFonts w:ascii="Times New Roman" w:hAnsi="Times New Roman"/>
                <w:b w:val="0"/>
                <w:sz w:val="19"/>
              </w:rPr>
              <w:t>0.9706 to 0.9837</w:t>
            </w:r>
          </w:p>
        </w:tc>
        <w:tc>
          <w:tcPr>
            <w:tcW w:type="dxa" w:w="1958"/>
            <w:vAlign w:val="center"/>
          </w:tcPr>
          <w:p>
            <w:pPr>
              <w:jc w:val="center"/>
            </w:pPr>
            <w:r/>
            <w:r>
              <w:rPr>
                <w:rFonts w:ascii="Times New Roman" w:hAnsi="Times New Roman"/>
                <w:b w:val="0"/>
                <w:sz w:val="19"/>
              </w:rPr>
              <w:t>94.6%</w:t>
            </w:r>
          </w:p>
        </w:tc>
        <w:tc>
          <w:tcPr>
            <w:tcW w:type="dxa" w:w="1958"/>
            <w:vAlign w:val="center"/>
          </w:tcPr>
          <w:p>
            <w:pPr>
              <w:jc w:val="center"/>
            </w:pPr>
            <w:r/>
            <w:r>
              <w:rPr>
                <w:rFonts w:ascii="Times New Roman" w:hAnsi="Times New Roman"/>
                <w:b w:val="0"/>
                <w:sz w:val="19"/>
              </w:rPr>
              <w:t>0.21</w:t>
            </w:r>
          </w:p>
        </w:tc>
      </w:tr>
      <w:tr>
        <w:tc>
          <w:tcPr>
            <w:tcW w:type="dxa" w:w="1958"/>
            <w:vAlign w:val="center"/>
          </w:tcPr>
          <w:p>
            <w:pPr>
              <w:jc w:val="center"/>
            </w:pPr>
            <w:r/>
            <w:r>
              <w:rPr>
                <w:rFonts w:ascii="Times New Roman" w:hAnsi="Times New Roman"/>
                <w:b w:val="0"/>
                <w:sz w:val="19"/>
              </w:rPr>
              <w:t>introsort</w:t>
            </w:r>
          </w:p>
        </w:tc>
        <w:tc>
          <w:tcPr>
            <w:tcW w:type="dxa" w:w="1958"/>
            <w:vAlign w:val="center"/>
          </w:tcPr>
          <w:p>
            <w:pPr>
              <w:jc w:val="center"/>
            </w:pPr>
            <w:r/>
            <w:r>
              <w:rPr>
                <w:rFonts w:ascii="Times New Roman" w:hAnsi="Times New Roman"/>
                <w:b w:val="0"/>
                <w:sz w:val="19"/>
              </w:rPr>
              <w:t>n_elements</w:t>
            </w:r>
          </w:p>
        </w:tc>
        <w:tc>
          <w:tcPr>
            <w:tcW w:type="dxa" w:w="1958"/>
            <w:vAlign w:val="center"/>
          </w:tcPr>
          <w:p>
            <w:pPr>
              <w:jc w:val="center"/>
            </w:pPr>
            <w:r/>
            <w:r>
              <w:rPr>
                <w:rFonts w:ascii="Times New Roman" w:hAnsi="Times New Roman"/>
                <w:b w:val="0"/>
                <w:sz w:val="19"/>
              </w:rPr>
              <w:t>1.338e+04 to 1.841e+05</w:t>
            </w:r>
          </w:p>
        </w:tc>
        <w:tc>
          <w:tcPr>
            <w:tcW w:type="dxa" w:w="1958"/>
            <w:vAlign w:val="center"/>
          </w:tcPr>
          <w:p>
            <w:pPr>
              <w:jc w:val="center"/>
            </w:pPr>
            <w:r/>
            <w:r>
              <w:rPr>
                <w:rFonts w:ascii="Times New Roman" w:hAnsi="Times New Roman"/>
                <w:b w:val="0"/>
                <w:sz w:val="19"/>
              </w:rPr>
              <w:t>85.0%</w:t>
            </w:r>
          </w:p>
        </w:tc>
        <w:tc>
          <w:tcPr>
            <w:tcW w:type="dxa" w:w="1958"/>
            <w:vAlign w:val="center"/>
          </w:tcPr>
          <w:p>
            <w:pPr>
              <w:jc w:val="center"/>
            </w:pPr>
            <w:r/>
            <w:r>
              <w:rPr>
                <w:rFonts w:ascii="Times New Roman" w:hAnsi="Times New Roman"/>
                <w:b w:val="0"/>
                <w:sz w:val="19"/>
              </w:rPr>
              <w:t>2.25</w:t>
            </w:r>
          </w:p>
        </w:tc>
      </w:tr>
      <w:tr>
        <w:tc>
          <w:tcPr>
            <w:tcW w:type="dxa" w:w="1958"/>
            <w:vAlign w:val="center"/>
          </w:tcPr>
          <w:p>
            <w:pPr>
              <w:jc w:val="center"/>
            </w:pPr>
            <w:r/>
            <w:r>
              <w:rPr>
                <w:rFonts w:ascii="Times New Roman" w:hAnsi="Times New Roman"/>
                <w:b w:val="0"/>
                <w:sz w:val="19"/>
              </w:rPr>
              <w:t>introsort</w:t>
            </w:r>
          </w:p>
        </w:tc>
        <w:tc>
          <w:tcPr>
            <w:tcW w:type="dxa" w:w="1958"/>
            <w:vAlign w:val="center"/>
          </w:tcPr>
          <w:p>
            <w:pPr>
              <w:jc w:val="center"/>
            </w:pPr>
            <w:r/>
            <w:r>
              <w:rPr>
                <w:rFonts w:ascii="Times New Roman" w:hAnsi="Times New Roman"/>
                <w:b w:val="0"/>
                <w:sz w:val="19"/>
              </w:rPr>
              <w:t>length_norm</w:t>
            </w:r>
          </w:p>
        </w:tc>
        <w:tc>
          <w:tcPr>
            <w:tcW w:type="dxa" w:w="1958"/>
            <w:vAlign w:val="center"/>
          </w:tcPr>
          <w:p>
            <w:pPr>
              <w:jc w:val="center"/>
            </w:pPr>
            <w:r/>
            <w:r>
              <w:rPr>
                <w:rFonts w:ascii="Times New Roman" w:hAnsi="Times New Roman"/>
                <w:b w:val="0"/>
                <w:sz w:val="19"/>
              </w:rPr>
              <w:t>0.07269 to 1</w:t>
            </w:r>
          </w:p>
        </w:tc>
        <w:tc>
          <w:tcPr>
            <w:tcW w:type="dxa" w:w="1958"/>
            <w:vAlign w:val="center"/>
          </w:tcPr>
          <w:p>
            <w:pPr>
              <w:jc w:val="center"/>
            </w:pPr>
            <w:r/>
            <w:r>
              <w:rPr>
                <w:rFonts w:ascii="Times New Roman" w:hAnsi="Times New Roman"/>
                <w:b w:val="0"/>
                <w:sz w:val="19"/>
              </w:rPr>
              <w:t>85.0%</w:t>
            </w:r>
          </w:p>
        </w:tc>
        <w:tc>
          <w:tcPr>
            <w:tcW w:type="dxa" w:w="1958"/>
            <w:vAlign w:val="center"/>
          </w:tcPr>
          <w:p>
            <w:pPr>
              <w:jc w:val="center"/>
            </w:pPr>
            <w:r/>
            <w:r>
              <w:rPr>
                <w:rFonts w:ascii="Times New Roman" w:hAnsi="Times New Roman"/>
                <w:b w:val="0"/>
                <w:sz w:val="19"/>
              </w:rPr>
              <w:t>2.25</w:t>
            </w:r>
          </w:p>
        </w:tc>
      </w:tr>
      <w:tr>
        <w:tc>
          <w:tcPr>
            <w:tcW w:type="dxa" w:w="1958"/>
            <w:vAlign w:val="center"/>
          </w:tcPr>
          <w:p>
            <w:pPr>
              <w:jc w:val="center"/>
            </w:pPr>
            <w:r/>
            <w:r>
              <w:rPr>
                <w:rFonts w:ascii="Times New Roman" w:hAnsi="Times New Roman"/>
                <w:b w:val="0"/>
                <w:sz w:val="19"/>
              </w:rPr>
              <w:t>introsort</w:t>
            </w:r>
          </w:p>
        </w:tc>
        <w:tc>
          <w:tcPr>
            <w:tcW w:type="dxa" w:w="1958"/>
            <w:vAlign w:val="center"/>
          </w:tcPr>
          <w:p>
            <w:pPr>
              <w:jc w:val="center"/>
            </w:pPr>
            <w:r/>
            <w:r>
              <w:rPr>
                <w:rFonts w:ascii="Times New Roman" w:hAnsi="Times New Roman"/>
                <w:b w:val="0"/>
                <w:sz w:val="19"/>
              </w:rPr>
              <w:t>duplicate_ratio</w:t>
            </w:r>
          </w:p>
        </w:tc>
        <w:tc>
          <w:tcPr>
            <w:tcW w:type="dxa" w:w="1958"/>
            <w:vAlign w:val="center"/>
          </w:tcPr>
          <w:p>
            <w:pPr>
              <w:jc w:val="center"/>
            </w:pPr>
            <w:r/>
            <w:r>
              <w:rPr>
                <w:rFonts w:ascii="Times New Roman" w:hAnsi="Times New Roman"/>
                <w:b w:val="0"/>
                <w:sz w:val="19"/>
              </w:rPr>
              <w:t>0.9922 to 0.9999</w:t>
            </w:r>
          </w:p>
        </w:tc>
        <w:tc>
          <w:tcPr>
            <w:tcW w:type="dxa" w:w="1958"/>
            <w:vAlign w:val="center"/>
          </w:tcPr>
          <w:p>
            <w:pPr>
              <w:jc w:val="center"/>
            </w:pPr>
            <w:r/>
            <w:r>
              <w:rPr>
                <w:rFonts w:ascii="Times New Roman" w:hAnsi="Times New Roman"/>
                <w:b w:val="0"/>
                <w:sz w:val="19"/>
              </w:rPr>
              <w:t>76.0%</w:t>
            </w:r>
          </w:p>
        </w:tc>
        <w:tc>
          <w:tcPr>
            <w:tcW w:type="dxa" w:w="1958"/>
            <w:vAlign w:val="center"/>
          </w:tcPr>
          <w:p>
            <w:pPr>
              <w:jc w:val="center"/>
            </w:pPr>
            <w:r/>
            <w:r>
              <w:rPr>
                <w:rFonts w:ascii="Times New Roman" w:hAnsi="Times New Roman"/>
                <w:b w:val="0"/>
                <w:sz w:val="19"/>
              </w:rPr>
              <w:t>0.90</w:t>
            </w:r>
          </w:p>
        </w:tc>
      </w:tr>
      <w:tr>
        <w:tc>
          <w:tcPr>
            <w:tcW w:type="dxa" w:w="1958"/>
            <w:vAlign w:val="center"/>
          </w:tcPr>
          <w:p>
            <w:pPr>
              <w:jc w:val="center"/>
            </w:pPr>
            <w:r/>
            <w:r>
              <w:rPr>
                <w:rFonts w:ascii="Times New Roman" w:hAnsi="Times New Roman"/>
                <w:b w:val="0"/>
                <w:sz w:val="19"/>
              </w:rPr>
              <w:t>introsort</w:t>
            </w:r>
          </w:p>
        </w:tc>
        <w:tc>
          <w:tcPr>
            <w:tcW w:type="dxa" w:w="1958"/>
            <w:vAlign w:val="center"/>
          </w:tcPr>
          <w:p>
            <w:pPr>
              <w:jc w:val="center"/>
            </w:pPr>
            <w:r/>
            <w:r>
              <w:rPr>
                <w:rFonts w:ascii="Times New Roman" w:hAnsi="Times New Roman"/>
                <w:b w:val="0"/>
                <w:sz w:val="19"/>
              </w:rPr>
              <w:t>longest_run_ratio</w:t>
            </w:r>
          </w:p>
        </w:tc>
        <w:tc>
          <w:tcPr>
            <w:tcW w:type="dxa" w:w="1958"/>
            <w:vAlign w:val="center"/>
          </w:tcPr>
          <w:p>
            <w:pPr>
              <w:jc w:val="center"/>
            </w:pPr>
            <w:r/>
            <w:r>
              <w:rPr>
                <w:rFonts w:ascii="Times New Roman" w:hAnsi="Times New Roman"/>
                <w:b w:val="0"/>
                <w:sz w:val="19"/>
              </w:rPr>
              <w:t>4.345e-05 to 0.0008703</w:t>
            </w:r>
          </w:p>
        </w:tc>
        <w:tc>
          <w:tcPr>
            <w:tcW w:type="dxa" w:w="1958"/>
            <w:vAlign w:val="center"/>
          </w:tcPr>
          <w:p>
            <w:pPr>
              <w:jc w:val="center"/>
            </w:pPr>
            <w:r/>
            <w:r>
              <w:rPr>
                <w:rFonts w:ascii="Times New Roman" w:hAnsi="Times New Roman"/>
                <w:b w:val="0"/>
                <w:sz w:val="19"/>
              </w:rPr>
              <w:t>71.8%</w:t>
            </w:r>
          </w:p>
        </w:tc>
        <w:tc>
          <w:tcPr>
            <w:tcW w:type="dxa" w:w="1958"/>
            <w:vAlign w:val="center"/>
          </w:tcPr>
          <w:p>
            <w:pPr>
              <w:jc w:val="center"/>
            </w:pPr>
            <w:r/>
            <w:r>
              <w:rPr>
                <w:rFonts w:ascii="Times New Roman" w:hAnsi="Times New Roman"/>
                <w:b w:val="0"/>
                <w:sz w:val="19"/>
              </w:rPr>
              <w:t>1.63</w:t>
            </w:r>
          </w:p>
        </w:tc>
      </w:tr>
      <w:tr>
        <w:tc>
          <w:tcPr>
            <w:tcW w:type="dxa" w:w="1958"/>
            <w:vAlign w:val="center"/>
          </w:tcPr>
          <w:p>
            <w:pPr>
              <w:jc w:val="center"/>
            </w:pPr>
            <w:r/>
            <w:r>
              <w:rPr>
                <w:rFonts w:ascii="Times New Roman" w:hAnsi="Times New Roman"/>
                <w:b w:val="0"/>
                <w:sz w:val="19"/>
              </w:rPr>
              <w:t>timsort</w:t>
            </w:r>
          </w:p>
        </w:tc>
        <w:tc>
          <w:tcPr>
            <w:tcW w:type="dxa" w:w="1958"/>
            <w:vAlign w:val="center"/>
          </w:tcPr>
          <w:p>
            <w:pPr>
              <w:jc w:val="center"/>
            </w:pPr>
            <w:r/>
            <w:r>
              <w:rPr>
                <w:rFonts w:ascii="Times New Roman" w:hAnsi="Times New Roman"/>
                <w:b w:val="0"/>
                <w:sz w:val="19"/>
              </w:rPr>
              <w:t>adj_sorted_ratio</w:t>
            </w:r>
          </w:p>
        </w:tc>
        <w:tc>
          <w:tcPr>
            <w:tcW w:type="dxa" w:w="1958"/>
            <w:vAlign w:val="center"/>
          </w:tcPr>
          <w:p>
            <w:pPr>
              <w:jc w:val="center"/>
            </w:pPr>
            <w:r/>
            <w:r>
              <w:rPr>
                <w:rFonts w:ascii="Times New Roman" w:hAnsi="Times New Roman"/>
                <w:b w:val="0"/>
                <w:sz w:val="19"/>
              </w:rPr>
              <w:t>0.9053 to 0.9095</w:t>
            </w:r>
          </w:p>
        </w:tc>
        <w:tc>
          <w:tcPr>
            <w:tcW w:type="dxa" w:w="1958"/>
            <w:vAlign w:val="center"/>
          </w:tcPr>
          <w:p>
            <w:pPr>
              <w:jc w:val="center"/>
            </w:pPr>
            <w:r/>
            <w:r>
              <w:rPr>
                <w:rFonts w:ascii="Times New Roman" w:hAnsi="Times New Roman"/>
                <w:b w:val="0"/>
                <w:sz w:val="19"/>
              </w:rPr>
              <w:t>99.8%</w:t>
            </w:r>
          </w:p>
        </w:tc>
        <w:tc>
          <w:tcPr>
            <w:tcW w:type="dxa" w:w="1958"/>
            <w:vAlign w:val="center"/>
          </w:tcPr>
          <w:p>
            <w:pPr>
              <w:jc w:val="center"/>
            </w:pPr>
            <w:r/>
            <w:r>
              <w:rPr>
                <w:rFonts w:ascii="Times New Roman" w:hAnsi="Times New Roman"/>
                <w:b w:val="0"/>
                <w:sz w:val="19"/>
              </w:rPr>
              <w:t>9.17</w:t>
            </w:r>
          </w:p>
        </w:tc>
      </w:tr>
      <w:tr>
        <w:tc>
          <w:tcPr>
            <w:tcW w:type="dxa" w:w="1958"/>
            <w:vAlign w:val="center"/>
          </w:tcPr>
          <w:p>
            <w:pPr>
              <w:jc w:val="center"/>
            </w:pPr>
            <w:r/>
            <w:r>
              <w:rPr>
                <w:rFonts w:ascii="Times New Roman" w:hAnsi="Times New Roman"/>
                <w:b w:val="0"/>
                <w:sz w:val="19"/>
              </w:rPr>
              <w:t>timsort</w:t>
            </w:r>
          </w:p>
        </w:tc>
        <w:tc>
          <w:tcPr>
            <w:tcW w:type="dxa" w:w="1958"/>
            <w:vAlign w:val="center"/>
          </w:tcPr>
          <w:p>
            <w:pPr>
              <w:jc w:val="center"/>
            </w:pPr>
            <w:r/>
            <w:r>
              <w:rPr>
                <w:rFonts w:ascii="Times New Roman" w:hAnsi="Times New Roman"/>
                <w:b w:val="0"/>
                <w:sz w:val="19"/>
              </w:rPr>
              <w:t>inversion_ratio</w:t>
            </w:r>
          </w:p>
        </w:tc>
        <w:tc>
          <w:tcPr>
            <w:tcW w:type="dxa" w:w="1958"/>
            <w:vAlign w:val="center"/>
          </w:tcPr>
          <w:p>
            <w:pPr>
              <w:jc w:val="center"/>
            </w:pPr>
            <w:r/>
            <w:r>
              <w:rPr>
                <w:rFonts w:ascii="Times New Roman" w:hAnsi="Times New Roman"/>
                <w:b w:val="0"/>
                <w:sz w:val="19"/>
              </w:rPr>
              <w:t>0.05952 to 0.06598</w:t>
            </w:r>
          </w:p>
        </w:tc>
        <w:tc>
          <w:tcPr>
            <w:tcW w:type="dxa" w:w="1958"/>
            <w:vAlign w:val="center"/>
          </w:tcPr>
          <w:p>
            <w:pPr>
              <w:jc w:val="center"/>
            </w:pPr>
            <w:r/>
            <w:r>
              <w:rPr>
                <w:rFonts w:ascii="Times New Roman" w:hAnsi="Times New Roman"/>
                <w:b w:val="0"/>
                <w:sz w:val="19"/>
              </w:rPr>
              <w:t>99.8%</w:t>
            </w:r>
          </w:p>
        </w:tc>
        <w:tc>
          <w:tcPr>
            <w:tcW w:type="dxa" w:w="1958"/>
            <w:vAlign w:val="center"/>
          </w:tcPr>
          <w:p>
            <w:pPr>
              <w:jc w:val="center"/>
            </w:pPr>
            <w:r/>
            <w:r>
              <w:rPr>
                <w:rFonts w:ascii="Times New Roman" w:hAnsi="Times New Roman"/>
                <w:b w:val="0"/>
                <w:sz w:val="19"/>
              </w:rPr>
              <w:t>11.58</w:t>
            </w:r>
          </w:p>
        </w:tc>
      </w:tr>
      <w:tr>
        <w:tc>
          <w:tcPr>
            <w:tcW w:type="dxa" w:w="1958"/>
            <w:vAlign w:val="center"/>
          </w:tcPr>
          <w:p>
            <w:pPr>
              <w:jc w:val="center"/>
            </w:pPr>
            <w:r/>
            <w:r>
              <w:rPr>
                <w:rFonts w:ascii="Times New Roman" w:hAnsi="Times New Roman"/>
                <w:b w:val="0"/>
                <w:sz w:val="19"/>
              </w:rPr>
              <w:t>timsort</w:t>
            </w:r>
          </w:p>
        </w:tc>
        <w:tc>
          <w:tcPr>
            <w:tcW w:type="dxa" w:w="1958"/>
            <w:vAlign w:val="center"/>
          </w:tcPr>
          <w:p>
            <w:pPr>
              <w:jc w:val="center"/>
            </w:pPr>
            <w:r/>
            <w:r>
              <w:rPr>
                <w:rFonts w:ascii="Times New Roman" w:hAnsi="Times New Roman"/>
                <w:b w:val="0"/>
                <w:sz w:val="19"/>
              </w:rPr>
              <w:t>runs_ratio</w:t>
            </w:r>
          </w:p>
        </w:tc>
        <w:tc>
          <w:tcPr>
            <w:tcW w:type="dxa" w:w="1958"/>
            <w:vAlign w:val="center"/>
          </w:tcPr>
          <w:p>
            <w:pPr>
              <w:jc w:val="center"/>
            </w:pPr>
            <w:r/>
            <w:r>
              <w:rPr>
                <w:rFonts w:ascii="Times New Roman" w:hAnsi="Times New Roman"/>
                <w:b w:val="0"/>
                <w:sz w:val="19"/>
              </w:rPr>
              <w:t>0.176 to 0.1832</w:t>
            </w:r>
          </w:p>
        </w:tc>
        <w:tc>
          <w:tcPr>
            <w:tcW w:type="dxa" w:w="1958"/>
            <w:vAlign w:val="center"/>
          </w:tcPr>
          <w:p>
            <w:pPr>
              <w:jc w:val="center"/>
            </w:pPr>
            <w:r/>
            <w:r>
              <w:rPr>
                <w:rFonts w:ascii="Times New Roman" w:hAnsi="Times New Roman"/>
                <w:b w:val="0"/>
                <w:sz w:val="19"/>
              </w:rPr>
              <w:t>99.8%</w:t>
            </w:r>
          </w:p>
        </w:tc>
        <w:tc>
          <w:tcPr>
            <w:tcW w:type="dxa" w:w="1958"/>
            <w:vAlign w:val="center"/>
          </w:tcPr>
          <w:p>
            <w:pPr>
              <w:jc w:val="center"/>
            </w:pPr>
            <w:r/>
            <w:r>
              <w:rPr>
                <w:rFonts w:ascii="Times New Roman" w:hAnsi="Times New Roman"/>
                <w:b w:val="0"/>
                <w:sz w:val="19"/>
              </w:rPr>
              <w:t>13.46</w:t>
            </w:r>
          </w:p>
        </w:tc>
      </w:tr>
      <w:tr>
        <w:tc>
          <w:tcPr>
            <w:tcW w:type="dxa" w:w="1958"/>
            <w:vAlign w:val="center"/>
          </w:tcPr>
          <w:p>
            <w:pPr>
              <w:jc w:val="center"/>
            </w:pPr>
            <w:r/>
            <w:r>
              <w:rPr>
                <w:rFonts w:ascii="Times New Roman" w:hAnsi="Times New Roman"/>
                <w:b w:val="0"/>
                <w:sz w:val="19"/>
              </w:rPr>
              <w:t>timsort</w:t>
            </w:r>
          </w:p>
        </w:tc>
        <w:tc>
          <w:tcPr>
            <w:tcW w:type="dxa" w:w="1958"/>
            <w:vAlign w:val="center"/>
          </w:tcPr>
          <w:p>
            <w:pPr>
              <w:jc w:val="center"/>
            </w:pPr>
            <w:r/>
            <w:r>
              <w:rPr>
                <w:rFonts w:ascii="Times New Roman" w:hAnsi="Times New Roman"/>
                <w:b w:val="0"/>
                <w:sz w:val="19"/>
              </w:rPr>
              <w:t>top5_freq_ratio</w:t>
            </w:r>
          </w:p>
        </w:tc>
        <w:tc>
          <w:tcPr>
            <w:tcW w:type="dxa" w:w="1958"/>
            <w:vAlign w:val="center"/>
          </w:tcPr>
          <w:p>
            <w:pPr>
              <w:jc w:val="center"/>
            </w:pPr>
            <w:r/>
            <w:r>
              <w:rPr>
                <w:rFonts w:ascii="Times New Roman" w:hAnsi="Times New Roman"/>
                <w:b w:val="0"/>
                <w:sz w:val="19"/>
              </w:rPr>
              <w:t>0.02 to 0.02497</w:t>
            </w:r>
          </w:p>
        </w:tc>
        <w:tc>
          <w:tcPr>
            <w:tcW w:type="dxa" w:w="1958"/>
            <w:vAlign w:val="center"/>
          </w:tcPr>
          <w:p>
            <w:pPr>
              <w:jc w:val="center"/>
            </w:pPr>
            <w:r/>
            <w:r>
              <w:rPr>
                <w:rFonts w:ascii="Times New Roman" w:hAnsi="Times New Roman"/>
                <w:b w:val="0"/>
                <w:sz w:val="19"/>
              </w:rPr>
              <w:t>99.4%</w:t>
            </w:r>
          </w:p>
        </w:tc>
        <w:tc>
          <w:tcPr>
            <w:tcW w:type="dxa" w:w="1958"/>
            <w:vAlign w:val="center"/>
          </w:tcPr>
          <w:p>
            <w:pPr>
              <w:jc w:val="center"/>
            </w:pPr>
            <w:r/>
            <w:r>
              <w:rPr>
                <w:rFonts w:ascii="Times New Roman" w:hAnsi="Times New Roman"/>
                <w:b w:val="0"/>
                <w:sz w:val="19"/>
              </w:rPr>
              <w:t>0.79</w:t>
            </w:r>
          </w:p>
        </w:tc>
      </w:tr>
    </w:tbl>
    <w:p/>
    <w:p>
      <w:pPr>
        <w:spacing w:after="100" w:line="259" w:lineRule="auto"/>
      </w:pPr>
      <w:r>
        <w:rPr>
          <w:rFonts w:ascii="Times New Roman" w:hAnsi="Times New Roman"/>
          <w:sz w:val="22"/>
        </w:rPr>
        <w:t>Heapsort success is linked with high duplicate and frequency concentration, especially top-5 frequency and duplicate-ratio regions. Introsort appears in larger and less cleanly ordered cases, but because it is the smallest true winner class, its decision boundary is less stable. This explains why per-class behaviour is more informative than one aggregate accuracy number.</w:t>
      </w:r>
    </w:p>
    <w:p>
      <w:pPr>
        <w:jc w:val="center"/>
      </w:pPr>
      <w:r>
        <w:drawing>
          <wp:inline xmlns:a="http://schemas.openxmlformats.org/drawingml/2006/main" xmlns:pic="http://schemas.openxmlformats.org/drawingml/2006/picture">
            <wp:extent cx="5394960" cy="2877312"/>
            <wp:docPr id="3" name="Picture 3"/>
            <wp:cNvGraphicFramePr>
              <a:graphicFrameLocks noChangeAspect="1"/>
            </wp:cNvGraphicFramePr>
            <a:graphic>
              <a:graphicData uri="http://schemas.openxmlformats.org/drawingml/2006/picture">
                <pic:pic>
                  <pic:nvPicPr>
                    <pic:cNvPr id="0" name="success_top_indicators.png"/>
                    <pic:cNvPicPr/>
                  </pic:nvPicPr>
                  <pic:blipFill>
                    <a:blip r:embed="rId11"/>
                    <a:stretch>
                      <a:fillRect/>
                    </a:stretch>
                  </pic:blipFill>
                  <pic:spPr>
                    <a:xfrm>
                      <a:off x="0" y="0"/>
                      <a:ext cx="5394960" cy="2877312"/>
                    </a:xfrm>
                    <a:prstGeom prst="rect"/>
                  </pic:spPr>
                </pic:pic>
              </a:graphicData>
            </a:graphic>
          </wp:inline>
        </w:drawing>
      </w:r>
    </w:p>
    <w:p>
      <w:pPr>
        <w:spacing w:before="60" w:after="140"/>
        <w:jc w:val="center"/>
      </w:pPr>
      <w:r>
        <w:rPr>
          <w:rFonts w:ascii="Times New Roman" w:hAnsi="Times New Roman"/>
          <w:i/>
          <w:color w:val="595959"/>
          <w:sz w:val="18"/>
        </w:rPr>
        <w:t>Figure X. Strongest structural regions behind successful predictions.</w:t>
      </w:r>
    </w:p>
    <w:p>
      <w:pPr>
        <w:spacing w:before="120" w:after="80"/>
      </w:pPr>
      <w:r>
        <w:rPr>
          <w:rFonts w:ascii="Times New Roman" w:hAnsi="Times New Roman"/>
          <w:b/>
          <w:color w:val="1F4E79"/>
          <w:sz w:val="24"/>
        </w:rPr>
        <w:t>Failure Structure and Regret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vAlign w:val="center"/>
          </w:tcPr>
          <w:p>
            <w:pPr>
              <w:jc w:val="center"/>
            </w:pPr>
            <w:r/>
            <w:r>
              <w:rPr>
                <w:rFonts w:ascii="Times New Roman" w:hAnsi="Times New Roman"/>
                <w:b/>
                <w:color w:val="FFFFFF"/>
                <w:sz w:val="19"/>
              </w:rPr>
              <w:t>Failure pair</w:t>
            </w:r>
          </w:p>
        </w:tc>
        <w:tc>
          <w:tcPr>
            <w:tcW w:type="dxa" w:w="1958"/>
            <w:shd w:fill="1F4E79"/>
            <w:vAlign w:val="center"/>
          </w:tcPr>
          <w:p>
            <w:pPr>
              <w:jc w:val="center"/>
            </w:pPr>
            <w:r/>
            <w:r>
              <w:rPr>
                <w:rFonts w:ascii="Times New Roman" w:hAnsi="Times New Roman"/>
                <w:b/>
                <w:color w:val="FFFFFF"/>
                <w:sz w:val="19"/>
              </w:rPr>
              <w:t>Cases</w:t>
            </w:r>
          </w:p>
        </w:tc>
        <w:tc>
          <w:tcPr>
            <w:tcW w:type="dxa" w:w="1958"/>
            <w:shd w:fill="1F4E79"/>
            <w:vAlign w:val="center"/>
          </w:tcPr>
          <w:p>
            <w:pPr>
              <w:jc w:val="center"/>
            </w:pPr>
            <w:r/>
            <w:r>
              <w:rPr>
                <w:rFonts w:ascii="Times New Roman" w:hAnsi="Times New Roman"/>
                <w:b/>
                <w:color w:val="FFFFFF"/>
                <w:sz w:val="19"/>
              </w:rPr>
              <w:t>Mean regret (us)</w:t>
            </w:r>
          </w:p>
        </w:tc>
        <w:tc>
          <w:tcPr>
            <w:tcW w:type="dxa" w:w="1958"/>
            <w:shd w:fill="1F4E79"/>
            <w:vAlign w:val="center"/>
          </w:tcPr>
          <w:p>
            <w:pPr>
              <w:jc w:val="center"/>
            </w:pPr>
            <w:r/>
            <w:r>
              <w:rPr>
                <w:rFonts w:ascii="Times New Roman" w:hAnsi="Times New Roman"/>
                <w:b/>
                <w:color w:val="FFFFFF"/>
                <w:sz w:val="19"/>
              </w:rPr>
              <w:t>Median regret (us)</w:t>
            </w:r>
          </w:p>
        </w:tc>
        <w:tc>
          <w:tcPr>
            <w:tcW w:type="dxa" w:w="1958"/>
            <w:shd w:fill="1F4E79"/>
            <w:vAlign w:val="center"/>
          </w:tcPr>
          <w:p>
            <w:pPr>
              <w:jc w:val="center"/>
            </w:pPr>
            <w:r/>
            <w:r>
              <w:rPr>
                <w:rFonts w:ascii="Times New Roman" w:hAnsi="Times New Roman"/>
                <w:b/>
                <w:color w:val="FFFFFF"/>
                <w:sz w:val="19"/>
              </w:rPr>
              <w:t>P95 regret (us)</w:t>
            </w:r>
          </w:p>
        </w:tc>
      </w:tr>
      <w:tr>
        <w:tc>
          <w:tcPr>
            <w:tcW w:type="dxa" w:w="1958"/>
            <w:vAlign w:val="center"/>
          </w:tcPr>
          <w:p>
            <w:pPr>
              <w:jc w:val="center"/>
            </w:pPr>
            <w:r/>
            <w:r>
              <w:rPr>
                <w:rFonts w:ascii="Times New Roman" w:hAnsi="Times New Roman"/>
                <w:b w:val="0"/>
                <w:sz w:val="19"/>
              </w:rPr>
              <w:t>timsort_to_heapsort</w:t>
            </w:r>
          </w:p>
        </w:tc>
        <w:tc>
          <w:tcPr>
            <w:tcW w:type="dxa" w:w="1958"/>
            <w:vAlign w:val="center"/>
          </w:tcPr>
          <w:p>
            <w:pPr>
              <w:jc w:val="center"/>
            </w:pPr>
            <w:r/>
            <w:r>
              <w:rPr>
                <w:rFonts w:ascii="Times New Roman" w:hAnsi="Times New Roman"/>
                <w:b w:val="0"/>
                <w:sz w:val="19"/>
              </w:rPr>
              <w:t>13,482</w:t>
            </w:r>
          </w:p>
        </w:tc>
        <w:tc>
          <w:tcPr>
            <w:tcW w:type="dxa" w:w="1958"/>
            <w:vAlign w:val="center"/>
          </w:tcPr>
          <w:p>
            <w:pPr>
              <w:jc w:val="center"/>
            </w:pPr>
            <w:r/>
            <w:r>
              <w:rPr>
                <w:rFonts w:ascii="Times New Roman" w:hAnsi="Times New Roman"/>
                <w:b w:val="0"/>
                <w:sz w:val="19"/>
              </w:rPr>
              <w:t>3.16</w:t>
            </w:r>
          </w:p>
        </w:tc>
        <w:tc>
          <w:tcPr>
            <w:tcW w:type="dxa" w:w="1958"/>
            <w:vAlign w:val="center"/>
          </w:tcPr>
          <w:p>
            <w:pPr>
              <w:jc w:val="center"/>
            </w:pPr>
            <w:r/>
            <w:r>
              <w:rPr>
                <w:rFonts w:ascii="Times New Roman" w:hAnsi="Times New Roman"/>
                <w:b w:val="0"/>
                <w:sz w:val="19"/>
              </w:rPr>
              <w:t>1.85</w:t>
            </w:r>
          </w:p>
        </w:tc>
        <w:tc>
          <w:tcPr>
            <w:tcW w:type="dxa" w:w="1958"/>
            <w:vAlign w:val="center"/>
          </w:tcPr>
          <w:p>
            <w:pPr>
              <w:jc w:val="center"/>
            </w:pPr>
            <w:r/>
            <w:r>
              <w:rPr>
                <w:rFonts w:ascii="Times New Roman" w:hAnsi="Times New Roman"/>
                <w:b w:val="0"/>
                <w:sz w:val="19"/>
              </w:rPr>
              <w:t>9.04</w:t>
            </w:r>
          </w:p>
        </w:tc>
      </w:tr>
      <w:tr>
        <w:tc>
          <w:tcPr>
            <w:tcW w:type="dxa" w:w="1958"/>
            <w:vAlign w:val="center"/>
          </w:tcPr>
          <w:p>
            <w:pPr>
              <w:jc w:val="center"/>
            </w:pPr>
            <w:r/>
            <w:r>
              <w:rPr>
                <w:rFonts w:ascii="Times New Roman" w:hAnsi="Times New Roman"/>
                <w:b w:val="0"/>
                <w:sz w:val="19"/>
              </w:rPr>
              <w:t>introsort_to_heapsort</w:t>
            </w:r>
          </w:p>
        </w:tc>
        <w:tc>
          <w:tcPr>
            <w:tcW w:type="dxa" w:w="1958"/>
            <w:vAlign w:val="center"/>
          </w:tcPr>
          <w:p>
            <w:pPr>
              <w:jc w:val="center"/>
            </w:pPr>
            <w:r/>
            <w:r>
              <w:rPr>
                <w:rFonts w:ascii="Times New Roman" w:hAnsi="Times New Roman"/>
                <w:b w:val="0"/>
                <w:sz w:val="19"/>
              </w:rPr>
              <w:t>8,227</w:t>
            </w:r>
          </w:p>
        </w:tc>
        <w:tc>
          <w:tcPr>
            <w:tcW w:type="dxa" w:w="1958"/>
            <w:vAlign w:val="center"/>
          </w:tcPr>
          <w:p>
            <w:pPr>
              <w:jc w:val="center"/>
            </w:pPr>
            <w:r/>
            <w:r>
              <w:rPr>
                <w:rFonts w:ascii="Times New Roman" w:hAnsi="Times New Roman"/>
                <w:b w:val="0"/>
                <w:sz w:val="19"/>
              </w:rPr>
              <w:t>0.94</w:t>
            </w:r>
          </w:p>
        </w:tc>
        <w:tc>
          <w:tcPr>
            <w:tcW w:type="dxa" w:w="1958"/>
            <w:vAlign w:val="center"/>
          </w:tcPr>
          <w:p>
            <w:pPr>
              <w:jc w:val="center"/>
            </w:pPr>
            <w:r/>
            <w:r>
              <w:rPr>
                <w:rFonts w:ascii="Times New Roman" w:hAnsi="Times New Roman"/>
                <w:b w:val="0"/>
                <w:sz w:val="19"/>
              </w:rPr>
              <w:t>0.12</w:t>
            </w:r>
          </w:p>
        </w:tc>
        <w:tc>
          <w:tcPr>
            <w:tcW w:type="dxa" w:w="1958"/>
            <w:vAlign w:val="center"/>
          </w:tcPr>
          <w:p>
            <w:pPr>
              <w:jc w:val="center"/>
            </w:pPr>
            <w:r/>
            <w:r>
              <w:rPr>
                <w:rFonts w:ascii="Times New Roman" w:hAnsi="Times New Roman"/>
                <w:b w:val="0"/>
                <w:sz w:val="19"/>
              </w:rPr>
              <w:t>3.42</w:t>
            </w:r>
          </w:p>
        </w:tc>
      </w:tr>
      <w:tr>
        <w:tc>
          <w:tcPr>
            <w:tcW w:type="dxa" w:w="1958"/>
            <w:vAlign w:val="center"/>
          </w:tcPr>
          <w:p>
            <w:pPr>
              <w:jc w:val="center"/>
            </w:pPr>
            <w:r/>
            <w:r>
              <w:rPr>
                <w:rFonts w:ascii="Times New Roman" w:hAnsi="Times New Roman"/>
                <w:b w:val="0"/>
                <w:sz w:val="19"/>
              </w:rPr>
              <w:t>heapsort_to_introsort</w:t>
            </w:r>
          </w:p>
        </w:tc>
        <w:tc>
          <w:tcPr>
            <w:tcW w:type="dxa" w:w="1958"/>
            <w:vAlign w:val="center"/>
          </w:tcPr>
          <w:p>
            <w:pPr>
              <w:jc w:val="center"/>
            </w:pPr>
            <w:r/>
            <w:r>
              <w:rPr>
                <w:rFonts w:ascii="Times New Roman" w:hAnsi="Times New Roman"/>
                <w:b w:val="0"/>
                <w:sz w:val="19"/>
              </w:rPr>
              <w:t>4,745</w:t>
            </w:r>
          </w:p>
        </w:tc>
        <w:tc>
          <w:tcPr>
            <w:tcW w:type="dxa" w:w="1958"/>
            <w:vAlign w:val="center"/>
          </w:tcPr>
          <w:p>
            <w:pPr>
              <w:jc w:val="center"/>
            </w:pPr>
            <w:r/>
            <w:r>
              <w:rPr>
                <w:rFonts w:ascii="Times New Roman" w:hAnsi="Times New Roman"/>
                <w:b w:val="0"/>
                <w:sz w:val="19"/>
              </w:rPr>
              <w:t>3.84</w:t>
            </w:r>
          </w:p>
        </w:tc>
        <w:tc>
          <w:tcPr>
            <w:tcW w:type="dxa" w:w="1958"/>
            <w:vAlign w:val="center"/>
          </w:tcPr>
          <w:p>
            <w:pPr>
              <w:jc w:val="center"/>
            </w:pPr>
            <w:r/>
            <w:r>
              <w:rPr>
                <w:rFonts w:ascii="Times New Roman" w:hAnsi="Times New Roman"/>
                <w:b w:val="0"/>
                <w:sz w:val="19"/>
              </w:rPr>
              <w:t>0.87</w:t>
            </w:r>
          </w:p>
        </w:tc>
        <w:tc>
          <w:tcPr>
            <w:tcW w:type="dxa" w:w="1958"/>
            <w:vAlign w:val="center"/>
          </w:tcPr>
          <w:p>
            <w:pPr>
              <w:jc w:val="center"/>
            </w:pPr>
            <w:r/>
            <w:r>
              <w:rPr>
                <w:rFonts w:ascii="Times New Roman" w:hAnsi="Times New Roman"/>
                <w:b w:val="0"/>
                <w:sz w:val="19"/>
              </w:rPr>
              <w:t>11.00</w:t>
            </w:r>
          </w:p>
        </w:tc>
      </w:tr>
      <w:tr>
        <w:tc>
          <w:tcPr>
            <w:tcW w:type="dxa" w:w="1958"/>
            <w:vAlign w:val="center"/>
          </w:tcPr>
          <w:p>
            <w:pPr>
              <w:jc w:val="center"/>
            </w:pPr>
            <w:r/>
            <w:r>
              <w:rPr>
                <w:rFonts w:ascii="Times New Roman" w:hAnsi="Times New Roman"/>
                <w:b w:val="0"/>
                <w:sz w:val="19"/>
              </w:rPr>
              <w:t>timsort_to_introsort</w:t>
            </w:r>
          </w:p>
        </w:tc>
        <w:tc>
          <w:tcPr>
            <w:tcW w:type="dxa" w:w="1958"/>
            <w:vAlign w:val="center"/>
          </w:tcPr>
          <w:p>
            <w:pPr>
              <w:jc w:val="center"/>
            </w:pPr>
            <w:r/>
            <w:r>
              <w:rPr>
                <w:rFonts w:ascii="Times New Roman" w:hAnsi="Times New Roman"/>
                <w:b w:val="0"/>
                <w:sz w:val="19"/>
              </w:rPr>
              <w:t>4,721</w:t>
            </w:r>
          </w:p>
        </w:tc>
        <w:tc>
          <w:tcPr>
            <w:tcW w:type="dxa" w:w="1958"/>
            <w:vAlign w:val="center"/>
          </w:tcPr>
          <w:p>
            <w:pPr>
              <w:jc w:val="center"/>
            </w:pPr>
            <w:r/>
            <w:r>
              <w:rPr>
                <w:rFonts w:ascii="Times New Roman" w:hAnsi="Times New Roman"/>
                <w:b w:val="0"/>
                <w:sz w:val="19"/>
              </w:rPr>
              <w:t>8.15</w:t>
            </w:r>
          </w:p>
        </w:tc>
        <w:tc>
          <w:tcPr>
            <w:tcW w:type="dxa" w:w="1958"/>
            <w:vAlign w:val="center"/>
          </w:tcPr>
          <w:p>
            <w:pPr>
              <w:jc w:val="center"/>
            </w:pPr>
            <w:r/>
            <w:r>
              <w:rPr>
                <w:rFonts w:ascii="Times New Roman" w:hAnsi="Times New Roman"/>
                <w:b w:val="0"/>
                <w:sz w:val="19"/>
              </w:rPr>
              <w:t>4.88</w:t>
            </w:r>
          </w:p>
        </w:tc>
        <w:tc>
          <w:tcPr>
            <w:tcW w:type="dxa" w:w="1958"/>
            <w:vAlign w:val="center"/>
          </w:tcPr>
          <w:p>
            <w:pPr>
              <w:jc w:val="center"/>
            </w:pPr>
            <w:r/>
            <w:r>
              <w:rPr>
                <w:rFonts w:ascii="Times New Roman" w:hAnsi="Times New Roman"/>
                <w:b w:val="0"/>
                <w:sz w:val="19"/>
              </w:rPr>
              <w:t>27.71</w:t>
            </w:r>
          </w:p>
        </w:tc>
      </w:tr>
      <w:tr>
        <w:tc>
          <w:tcPr>
            <w:tcW w:type="dxa" w:w="1958"/>
            <w:vAlign w:val="center"/>
          </w:tcPr>
          <w:p>
            <w:pPr>
              <w:jc w:val="center"/>
            </w:pPr>
            <w:r/>
            <w:r>
              <w:rPr>
                <w:rFonts w:ascii="Times New Roman" w:hAnsi="Times New Roman"/>
                <w:b w:val="0"/>
                <w:sz w:val="19"/>
              </w:rPr>
              <w:t>heapsort_to_timsort</w:t>
            </w:r>
          </w:p>
        </w:tc>
        <w:tc>
          <w:tcPr>
            <w:tcW w:type="dxa" w:w="1958"/>
            <w:vAlign w:val="center"/>
          </w:tcPr>
          <w:p>
            <w:pPr>
              <w:jc w:val="center"/>
            </w:pPr>
            <w:r/>
            <w:r>
              <w:rPr>
                <w:rFonts w:ascii="Times New Roman" w:hAnsi="Times New Roman"/>
                <w:b w:val="0"/>
                <w:sz w:val="19"/>
              </w:rPr>
              <w:t>3,378</w:t>
            </w:r>
          </w:p>
        </w:tc>
        <w:tc>
          <w:tcPr>
            <w:tcW w:type="dxa" w:w="1958"/>
            <w:vAlign w:val="center"/>
          </w:tcPr>
          <w:p>
            <w:pPr>
              <w:jc w:val="center"/>
            </w:pPr>
            <w:r/>
            <w:r>
              <w:rPr>
                <w:rFonts w:ascii="Times New Roman" w:hAnsi="Times New Roman"/>
                <w:b w:val="0"/>
                <w:sz w:val="19"/>
              </w:rPr>
              <w:t>1.28</w:t>
            </w:r>
          </w:p>
        </w:tc>
        <w:tc>
          <w:tcPr>
            <w:tcW w:type="dxa" w:w="1958"/>
            <w:vAlign w:val="center"/>
          </w:tcPr>
          <w:p>
            <w:pPr>
              <w:jc w:val="center"/>
            </w:pPr>
            <w:r/>
            <w:r>
              <w:rPr>
                <w:rFonts w:ascii="Times New Roman" w:hAnsi="Times New Roman"/>
                <w:b w:val="0"/>
                <w:sz w:val="19"/>
              </w:rPr>
              <w:t>0.21</w:t>
            </w:r>
          </w:p>
        </w:tc>
        <w:tc>
          <w:tcPr>
            <w:tcW w:type="dxa" w:w="1958"/>
            <w:vAlign w:val="center"/>
          </w:tcPr>
          <w:p>
            <w:pPr>
              <w:jc w:val="center"/>
            </w:pPr>
            <w:r/>
            <w:r>
              <w:rPr>
                <w:rFonts w:ascii="Times New Roman" w:hAnsi="Times New Roman"/>
                <w:b w:val="0"/>
                <w:sz w:val="19"/>
              </w:rPr>
              <w:t>4.71</w:t>
            </w:r>
          </w:p>
        </w:tc>
      </w:tr>
      <w:tr>
        <w:tc>
          <w:tcPr>
            <w:tcW w:type="dxa" w:w="1958"/>
            <w:vAlign w:val="center"/>
          </w:tcPr>
          <w:p>
            <w:pPr>
              <w:jc w:val="center"/>
            </w:pPr>
            <w:r/>
            <w:r>
              <w:rPr>
                <w:rFonts w:ascii="Times New Roman" w:hAnsi="Times New Roman"/>
                <w:b w:val="0"/>
                <w:sz w:val="19"/>
              </w:rPr>
              <w:t>introsort_to_timsort</w:t>
            </w:r>
          </w:p>
        </w:tc>
        <w:tc>
          <w:tcPr>
            <w:tcW w:type="dxa" w:w="1958"/>
            <w:vAlign w:val="center"/>
          </w:tcPr>
          <w:p>
            <w:pPr>
              <w:jc w:val="center"/>
            </w:pPr>
            <w:r/>
            <w:r>
              <w:rPr>
                <w:rFonts w:ascii="Times New Roman" w:hAnsi="Times New Roman"/>
                <w:b w:val="0"/>
                <w:sz w:val="19"/>
              </w:rPr>
              <w:t>1,779</w:t>
            </w:r>
          </w:p>
        </w:tc>
        <w:tc>
          <w:tcPr>
            <w:tcW w:type="dxa" w:w="1958"/>
            <w:vAlign w:val="center"/>
          </w:tcPr>
          <w:p>
            <w:pPr>
              <w:jc w:val="center"/>
            </w:pPr>
            <w:r/>
            <w:r>
              <w:rPr>
                <w:rFonts w:ascii="Times New Roman" w:hAnsi="Times New Roman"/>
                <w:b w:val="0"/>
                <w:sz w:val="19"/>
              </w:rPr>
              <w:t>1.49</w:t>
            </w:r>
          </w:p>
        </w:tc>
        <w:tc>
          <w:tcPr>
            <w:tcW w:type="dxa" w:w="1958"/>
            <w:vAlign w:val="center"/>
          </w:tcPr>
          <w:p>
            <w:pPr>
              <w:jc w:val="center"/>
            </w:pPr>
            <w:r/>
            <w:r>
              <w:rPr>
                <w:rFonts w:ascii="Times New Roman" w:hAnsi="Times New Roman"/>
                <w:b w:val="0"/>
                <w:sz w:val="19"/>
              </w:rPr>
              <w:t>0.29</w:t>
            </w:r>
          </w:p>
        </w:tc>
        <w:tc>
          <w:tcPr>
            <w:tcW w:type="dxa" w:w="1958"/>
            <w:vAlign w:val="center"/>
          </w:tcPr>
          <w:p>
            <w:pPr>
              <w:jc w:val="center"/>
            </w:pPr>
            <w:r/>
            <w:r>
              <w:rPr>
                <w:rFonts w:ascii="Times New Roman" w:hAnsi="Times New Roman"/>
                <w:b w:val="0"/>
                <w:sz w:val="19"/>
              </w:rPr>
              <w:t>6.02</w:t>
            </w:r>
          </w:p>
        </w:tc>
      </w:tr>
    </w:tbl>
    <w:p/>
    <w:p>
      <w:pPr>
        <w:spacing w:after="100" w:line="259" w:lineRule="auto"/>
      </w:pPr>
      <w:r>
        <w:rPr>
          <w:rFonts w:ascii="Times New Roman" w:hAnsi="Times New Roman"/>
          <w:sz w:val="22"/>
        </w:rPr>
        <w:t>The failure analysis separates label error from runtime damage. There were 36,332 failed predictions, but 19,806 of them had regret at or below one microsecond. These cases are near-boundary decisions where two algorithms are practically tied. The important part of the error distribution is therefore the high-regret subset, not every incorrect label equally.</w:t>
      </w:r>
    </w:p>
    <w:p>
      <w:pPr>
        <w:jc w:val="center"/>
      </w:pPr>
      <w:r>
        <w:drawing>
          <wp:inline xmlns:a="http://schemas.openxmlformats.org/drawingml/2006/main" xmlns:pic="http://schemas.openxmlformats.org/drawingml/2006/picture">
            <wp:extent cx="5394960" cy="3094609"/>
            <wp:docPr id="4" name="Picture 4"/>
            <wp:cNvGraphicFramePr>
              <a:graphicFrameLocks noChangeAspect="1"/>
            </wp:cNvGraphicFramePr>
            <a:graphic>
              <a:graphicData uri="http://schemas.openxmlformats.org/drawingml/2006/picture">
                <pic:pic>
                  <pic:nvPicPr>
                    <pic:cNvPr id="0" name="failure_pairs_regret.png"/>
                    <pic:cNvPicPr/>
                  </pic:nvPicPr>
                  <pic:blipFill>
                    <a:blip r:embed="rId12"/>
                    <a:stretch>
                      <a:fillRect/>
                    </a:stretch>
                  </pic:blipFill>
                  <pic:spPr>
                    <a:xfrm>
                      <a:off x="0" y="0"/>
                      <a:ext cx="5394960" cy="3094609"/>
                    </a:xfrm>
                    <a:prstGeom prst="rect"/>
                  </pic:spPr>
                </pic:pic>
              </a:graphicData>
            </a:graphic>
          </wp:inline>
        </w:drawing>
      </w:r>
    </w:p>
    <w:p>
      <w:pPr>
        <w:spacing w:before="60" w:after="140"/>
        <w:jc w:val="center"/>
      </w:pPr>
      <w:r>
        <w:rPr>
          <w:rFonts w:ascii="Times New Roman" w:hAnsi="Times New Roman"/>
          <w:i/>
          <w:color w:val="595959"/>
          <w:sz w:val="18"/>
        </w:rPr>
        <w:t>Figure X. Failed prediction pairs ordered by mean regret.</w:t>
      </w:r>
    </w:p>
    <w:p>
      <w:pPr>
        <w:spacing w:before="120" w:after="80"/>
      </w:pPr>
      <w:r>
        <w:rPr>
          <w:rFonts w:ascii="Times New Roman" w:hAnsi="Times New Roman"/>
          <w:b/>
          <w:color w:val="1F4E79"/>
          <w:sz w:val="24"/>
        </w:rPr>
        <w:t>Worst-Failure Anatomy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vAlign w:val="center"/>
          </w:tcPr>
          <w:p>
            <w:pPr>
              <w:jc w:val="center"/>
            </w:pPr>
            <w:r/>
            <w:r>
              <w:rPr>
                <w:rFonts w:ascii="Times New Roman" w:hAnsi="Times New Roman"/>
                <w:b/>
                <w:color w:val="FFFFFF"/>
                <w:sz w:val="19"/>
              </w:rPr>
              <w:t>Failure pair</w:t>
            </w:r>
          </w:p>
        </w:tc>
        <w:tc>
          <w:tcPr>
            <w:tcW w:type="dxa" w:w="1958"/>
            <w:shd w:fill="1F4E79"/>
            <w:vAlign w:val="center"/>
          </w:tcPr>
          <w:p>
            <w:pPr>
              <w:jc w:val="center"/>
            </w:pPr>
            <w:r/>
            <w:r>
              <w:rPr>
                <w:rFonts w:ascii="Times New Roman" w:hAnsi="Times New Roman"/>
                <w:b/>
                <w:color w:val="FFFFFF"/>
                <w:sz w:val="19"/>
              </w:rPr>
              <w:t>Cases</w:t>
            </w:r>
          </w:p>
        </w:tc>
        <w:tc>
          <w:tcPr>
            <w:tcW w:type="dxa" w:w="1958"/>
            <w:shd w:fill="1F4E79"/>
            <w:vAlign w:val="center"/>
          </w:tcPr>
          <w:p>
            <w:pPr>
              <w:jc w:val="center"/>
            </w:pPr>
            <w:r/>
            <w:r>
              <w:rPr>
                <w:rFonts w:ascii="Times New Roman" w:hAnsi="Times New Roman"/>
                <w:b/>
                <w:color w:val="FFFFFF"/>
                <w:sz w:val="19"/>
              </w:rPr>
              <w:t>Mean regret (us)</w:t>
            </w:r>
          </w:p>
        </w:tc>
        <w:tc>
          <w:tcPr>
            <w:tcW w:type="dxa" w:w="1958"/>
            <w:shd w:fill="1F4E79"/>
            <w:vAlign w:val="center"/>
          </w:tcPr>
          <w:p>
            <w:pPr>
              <w:jc w:val="center"/>
            </w:pPr>
            <w:r/>
            <w:r>
              <w:rPr>
                <w:rFonts w:ascii="Times New Roman" w:hAnsi="Times New Roman"/>
                <w:b/>
                <w:color w:val="FFFFFF"/>
                <w:sz w:val="19"/>
              </w:rPr>
              <w:t>Median n</w:t>
            </w:r>
          </w:p>
        </w:tc>
        <w:tc>
          <w:tcPr>
            <w:tcW w:type="dxa" w:w="1958"/>
            <w:shd w:fill="1F4E79"/>
            <w:vAlign w:val="center"/>
          </w:tcPr>
          <w:p>
            <w:pPr>
              <w:jc w:val="center"/>
            </w:pPr>
            <w:r/>
            <w:r>
              <w:rPr>
                <w:rFonts w:ascii="Times New Roman" w:hAnsi="Times New Roman"/>
                <w:b/>
                <w:color w:val="FFFFFF"/>
                <w:sz w:val="19"/>
              </w:rPr>
              <w:t>Median margin (us)</w:t>
            </w:r>
          </w:p>
        </w:tc>
      </w:tr>
      <w:tr>
        <w:tc>
          <w:tcPr>
            <w:tcW w:type="dxa" w:w="1958"/>
            <w:vAlign w:val="center"/>
          </w:tcPr>
          <w:p>
            <w:pPr>
              <w:jc w:val="center"/>
            </w:pPr>
            <w:r/>
            <w:r>
              <w:rPr>
                <w:rFonts w:ascii="Times New Roman" w:hAnsi="Times New Roman"/>
                <w:b w:val="0"/>
                <w:sz w:val="19"/>
              </w:rPr>
              <w:t>timsort_to_introsort</w:t>
            </w:r>
          </w:p>
        </w:tc>
        <w:tc>
          <w:tcPr>
            <w:tcW w:type="dxa" w:w="1958"/>
            <w:vAlign w:val="center"/>
          </w:tcPr>
          <w:p>
            <w:pPr>
              <w:jc w:val="center"/>
            </w:pPr>
            <w:r/>
            <w:r>
              <w:rPr>
                <w:rFonts w:ascii="Times New Roman" w:hAnsi="Times New Roman"/>
                <w:b w:val="0"/>
                <w:sz w:val="19"/>
              </w:rPr>
              <w:t>253</w:t>
            </w:r>
          </w:p>
        </w:tc>
        <w:tc>
          <w:tcPr>
            <w:tcW w:type="dxa" w:w="1958"/>
            <w:vAlign w:val="center"/>
          </w:tcPr>
          <w:p>
            <w:pPr>
              <w:jc w:val="center"/>
            </w:pPr>
            <w:r/>
            <w:r>
              <w:rPr>
                <w:rFonts w:ascii="Times New Roman" w:hAnsi="Times New Roman"/>
                <w:b w:val="0"/>
                <w:sz w:val="19"/>
              </w:rPr>
              <w:t>53.56</w:t>
            </w:r>
          </w:p>
        </w:tc>
        <w:tc>
          <w:tcPr>
            <w:tcW w:type="dxa" w:w="1958"/>
            <w:vAlign w:val="center"/>
          </w:tcPr>
          <w:p>
            <w:pPr>
              <w:jc w:val="center"/>
            </w:pPr>
            <w:r/>
            <w:r>
              <w:rPr>
                <w:rFonts w:ascii="Times New Roman" w:hAnsi="Times New Roman"/>
                <w:b w:val="0"/>
                <w:sz w:val="19"/>
              </w:rPr>
              <w:t>13321</w:t>
            </w:r>
          </w:p>
        </w:tc>
        <w:tc>
          <w:tcPr>
            <w:tcW w:type="dxa" w:w="1958"/>
            <w:vAlign w:val="center"/>
          </w:tcPr>
          <w:p>
            <w:pPr>
              <w:jc w:val="center"/>
            </w:pPr>
            <w:r/>
            <w:r>
              <w:rPr>
                <w:rFonts w:ascii="Times New Roman" w:hAnsi="Times New Roman"/>
                <w:b w:val="0"/>
                <w:sz w:val="19"/>
              </w:rPr>
              <w:t>36.63</w:t>
            </w:r>
          </w:p>
        </w:tc>
      </w:tr>
      <w:tr>
        <w:tc>
          <w:tcPr>
            <w:tcW w:type="dxa" w:w="1958"/>
            <w:vAlign w:val="center"/>
          </w:tcPr>
          <w:p>
            <w:pPr>
              <w:jc w:val="center"/>
            </w:pPr>
            <w:r/>
            <w:r>
              <w:rPr>
                <w:rFonts w:ascii="Times New Roman" w:hAnsi="Times New Roman"/>
                <w:b w:val="0"/>
                <w:sz w:val="19"/>
              </w:rPr>
              <w:t>heapsort_to_introsort</w:t>
            </w:r>
          </w:p>
        </w:tc>
        <w:tc>
          <w:tcPr>
            <w:tcW w:type="dxa" w:w="1958"/>
            <w:vAlign w:val="center"/>
          </w:tcPr>
          <w:p>
            <w:pPr>
              <w:jc w:val="center"/>
            </w:pPr>
            <w:r/>
            <w:r>
              <w:rPr>
                <w:rFonts w:ascii="Times New Roman" w:hAnsi="Times New Roman"/>
                <w:b w:val="0"/>
                <w:sz w:val="19"/>
              </w:rPr>
              <w:t>103</w:t>
            </w:r>
          </w:p>
        </w:tc>
        <w:tc>
          <w:tcPr>
            <w:tcW w:type="dxa" w:w="1958"/>
            <w:vAlign w:val="center"/>
          </w:tcPr>
          <w:p>
            <w:pPr>
              <w:jc w:val="center"/>
            </w:pPr>
            <w:r/>
            <w:r>
              <w:rPr>
                <w:rFonts w:ascii="Times New Roman" w:hAnsi="Times New Roman"/>
                <w:b w:val="0"/>
                <w:sz w:val="19"/>
              </w:rPr>
              <w:t>86.71</w:t>
            </w:r>
          </w:p>
        </w:tc>
        <w:tc>
          <w:tcPr>
            <w:tcW w:type="dxa" w:w="1958"/>
            <w:vAlign w:val="center"/>
          </w:tcPr>
          <w:p>
            <w:pPr>
              <w:jc w:val="center"/>
            </w:pPr>
            <w:r/>
            <w:r>
              <w:rPr>
                <w:rFonts w:ascii="Times New Roman" w:hAnsi="Times New Roman"/>
                <w:b w:val="0"/>
                <w:sz w:val="19"/>
              </w:rPr>
              <w:t>184103</w:t>
            </w:r>
          </w:p>
        </w:tc>
        <w:tc>
          <w:tcPr>
            <w:tcW w:type="dxa" w:w="1958"/>
            <w:vAlign w:val="center"/>
          </w:tcPr>
          <w:p>
            <w:pPr>
              <w:jc w:val="center"/>
            </w:pPr>
            <w:r/>
            <w:r>
              <w:rPr>
                <w:rFonts w:ascii="Times New Roman" w:hAnsi="Times New Roman"/>
                <w:b w:val="0"/>
                <w:sz w:val="19"/>
              </w:rPr>
              <w:t>46.92</w:t>
            </w:r>
          </w:p>
        </w:tc>
      </w:tr>
      <w:tr>
        <w:tc>
          <w:tcPr>
            <w:tcW w:type="dxa" w:w="1958"/>
            <w:vAlign w:val="center"/>
          </w:tcPr>
          <w:p>
            <w:pPr>
              <w:jc w:val="center"/>
            </w:pPr>
            <w:r/>
            <w:r>
              <w:rPr>
                <w:rFonts w:ascii="Times New Roman" w:hAnsi="Times New Roman"/>
                <w:b w:val="0"/>
                <w:sz w:val="19"/>
              </w:rPr>
              <w:t>timsort_to_heapsort</w:t>
            </w:r>
          </w:p>
        </w:tc>
        <w:tc>
          <w:tcPr>
            <w:tcW w:type="dxa" w:w="1958"/>
            <w:vAlign w:val="center"/>
          </w:tcPr>
          <w:p>
            <w:pPr>
              <w:jc w:val="center"/>
            </w:pPr>
            <w:r/>
            <w:r>
              <w:rPr>
                <w:rFonts w:ascii="Times New Roman" w:hAnsi="Times New Roman"/>
                <w:b w:val="0"/>
                <w:sz w:val="19"/>
              </w:rPr>
              <w:t>75</w:t>
            </w:r>
          </w:p>
        </w:tc>
        <w:tc>
          <w:tcPr>
            <w:tcW w:type="dxa" w:w="1958"/>
            <w:vAlign w:val="center"/>
          </w:tcPr>
          <w:p>
            <w:pPr>
              <w:jc w:val="center"/>
            </w:pPr>
            <w:r/>
            <w:r>
              <w:rPr>
                <w:rFonts w:ascii="Times New Roman" w:hAnsi="Times New Roman"/>
                <w:b w:val="0"/>
                <w:sz w:val="19"/>
              </w:rPr>
              <w:t>36.94</w:t>
            </w:r>
          </w:p>
        </w:tc>
        <w:tc>
          <w:tcPr>
            <w:tcW w:type="dxa" w:w="1958"/>
            <w:vAlign w:val="center"/>
          </w:tcPr>
          <w:p>
            <w:pPr>
              <w:jc w:val="center"/>
            </w:pPr>
            <w:r/>
            <w:r>
              <w:rPr>
                <w:rFonts w:ascii="Times New Roman" w:hAnsi="Times New Roman"/>
                <w:b w:val="0"/>
                <w:sz w:val="19"/>
              </w:rPr>
              <w:t>8606</w:t>
            </w:r>
          </w:p>
        </w:tc>
        <w:tc>
          <w:tcPr>
            <w:tcW w:type="dxa" w:w="1958"/>
            <w:vAlign w:val="center"/>
          </w:tcPr>
          <w:p>
            <w:pPr>
              <w:jc w:val="center"/>
            </w:pPr>
            <w:r/>
            <w:r>
              <w:rPr>
                <w:rFonts w:ascii="Times New Roman" w:hAnsi="Times New Roman"/>
                <w:b w:val="0"/>
                <w:sz w:val="19"/>
              </w:rPr>
              <w:t>31.83</w:t>
            </w:r>
          </w:p>
        </w:tc>
      </w:tr>
      <w:tr>
        <w:tc>
          <w:tcPr>
            <w:tcW w:type="dxa" w:w="1958"/>
            <w:vAlign w:val="center"/>
          </w:tcPr>
          <w:p>
            <w:pPr>
              <w:jc w:val="center"/>
            </w:pPr>
            <w:r/>
            <w:r>
              <w:rPr>
                <w:rFonts w:ascii="Times New Roman" w:hAnsi="Times New Roman"/>
                <w:b w:val="0"/>
                <w:sz w:val="19"/>
              </w:rPr>
              <w:t>introsort_to_heapsort</w:t>
            </w:r>
          </w:p>
        </w:tc>
        <w:tc>
          <w:tcPr>
            <w:tcW w:type="dxa" w:w="1958"/>
            <w:vAlign w:val="center"/>
          </w:tcPr>
          <w:p>
            <w:pPr>
              <w:jc w:val="center"/>
            </w:pPr>
            <w:r/>
            <w:r>
              <w:rPr>
                <w:rFonts w:ascii="Times New Roman" w:hAnsi="Times New Roman"/>
                <w:b w:val="0"/>
                <w:sz w:val="19"/>
              </w:rPr>
              <w:t>34</w:t>
            </w:r>
          </w:p>
        </w:tc>
        <w:tc>
          <w:tcPr>
            <w:tcW w:type="dxa" w:w="1958"/>
            <w:vAlign w:val="center"/>
          </w:tcPr>
          <w:p>
            <w:pPr>
              <w:jc w:val="center"/>
            </w:pPr>
            <w:r/>
            <w:r>
              <w:rPr>
                <w:rFonts w:ascii="Times New Roman" w:hAnsi="Times New Roman"/>
                <w:b w:val="0"/>
                <w:sz w:val="19"/>
              </w:rPr>
              <w:t>66.64</w:t>
            </w:r>
          </w:p>
        </w:tc>
        <w:tc>
          <w:tcPr>
            <w:tcW w:type="dxa" w:w="1958"/>
            <w:vAlign w:val="center"/>
          </w:tcPr>
          <w:p>
            <w:pPr>
              <w:jc w:val="center"/>
            </w:pPr>
            <w:r/>
            <w:r>
              <w:rPr>
                <w:rFonts w:ascii="Times New Roman" w:hAnsi="Times New Roman"/>
                <w:b w:val="0"/>
                <w:sz w:val="19"/>
              </w:rPr>
              <w:t>13518</w:t>
            </w:r>
          </w:p>
        </w:tc>
        <w:tc>
          <w:tcPr>
            <w:tcW w:type="dxa" w:w="1958"/>
            <w:vAlign w:val="center"/>
          </w:tcPr>
          <w:p>
            <w:pPr>
              <w:jc w:val="center"/>
            </w:pPr>
            <w:r/>
            <w:r>
              <w:rPr>
                <w:rFonts w:ascii="Times New Roman" w:hAnsi="Times New Roman"/>
                <w:b w:val="0"/>
                <w:sz w:val="19"/>
              </w:rPr>
              <w:t>43.60</w:t>
            </w:r>
          </w:p>
        </w:tc>
      </w:tr>
      <w:tr>
        <w:tc>
          <w:tcPr>
            <w:tcW w:type="dxa" w:w="1958"/>
            <w:vAlign w:val="center"/>
          </w:tcPr>
          <w:p>
            <w:pPr>
              <w:jc w:val="center"/>
            </w:pPr>
            <w:r/>
            <w:r>
              <w:rPr>
                <w:rFonts w:ascii="Times New Roman" w:hAnsi="Times New Roman"/>
                <w:b w:val="0"/>
                <w:sz w:val="19"/>
              </w:rPr>
              <w:t>heapsort_to_timsort</w:t>
            </w:r>
          </w:p>
        </w:tc>
        <w:tc>
          <w:tcPr>
            <w:tcW w:type="dxa" w:w="1958"/>
            <w:vAlign w:val="center"/>
          </w:tcPr>
          <w:p>
            <w:pPr>
              <w:jc w:val="center"/>
            </w:pPr>
            <w:r/>
            <w:r>
              <w:rPr>
                <w:rFonts w:ascii="Times New Roman" w:hAnsi="Times New Roman"/>
                <w:b w:val="0"/>
                <w:sz w:val="19"/>
              </w:rPr>
              <w:t>22</w:t>
            </w:r>
          </w:p>
        </w:tc>
        <w:tc>
          <w:tcPr>
            <w:tcW w:type="dxa" w:w="1958"/>
            <w:vAlign w:val="center"/>
          </w:tcPr>
          <w:p>
            <w:pPr>
              <w:jc w:val="center"/>
            </w:pPr>
            <w:r/>
            <w:r>
              <w:rPr>
                <w:rFonts w:ascii="Times New Roman" w:hAnsi="Times New Roman"/>
                <w:b w:val="0"/>
                <w:sz w:val="19"/>
              </w:rPr>
              <w:t>49.62</w:t>
            </w:r>
          </w:p>
        </w:tc>
        <w:tc>
          <w:tcPr>
            <w:tcW w:type="dxa" w:w="1958"/>
            <w:vAlign w:val="center"/>
          </w:tcPr>
          <w:p>
            <w:pPr>
              <w:jc w:val="center"/>
            </w:pPr>
            <w:r/>
            <w:r>
              <w:rPr>
                <w:rFonts w:ascii="Times New Roman" w:hAnsi="Times New Roman"/>
                <w:b w:val="0"/>
                <w:sz w:val="19"/>
              </w:rPr>
              <w:t>2998</w:t>
            </w:r>
          </w:p>
        </w:tc>
        <w:tc>
          <w:tcPr>
            <w:tcW w:type="dxa" w:w="1958"/>
            <w:vAlign w:val="center"/>
          </w:tcPr>
          <w:p>
            <w:pPr>
              <w:jc w:val="center"/>
            </w:pPr>
            <w:r/>
            <w:r>
              <w:rPr>
                <w:rFonts w:ascii="Times New Roman" w:hAnsi="Times New Roman"/>
                <w:b w:val="0"/>
                <w:sz w:val="19"/>
              </w:rPr>
              <w:t>2.02</w:t>
            </w:r>
          </w:p>
        </w:tc>
      </w:tr>
      <w:tr>
        <w:tc>
          <w:tcPr>
            <w:tcW w:type="dxa" w:w="1958"/>
            <w:vAlign w:val="center"/>
          </w:tcPr>
          <w:p>
            <w:pPr>
              <w:jc w:val="center"/>
            </w:pPr>
            <w:r/>
            <w:r>
              <w:rPr>
                <w:rFonts w:ascii="Times New Roman" w:hAnsi="Times New Roman"/>
                <w:b w:val="0"/>
                <w:sz w:val="19"/>
              </w:rPr>
              <w:t>introsort_to_timsort</w:t>
            </w:r>
          </w:p>
        </w:tc>
        <w:tc>
          <w:tcPr>
            <w:tcW w:type="dxa" w:w="1958"/>
            <w:vAlign w:val="center"/>
          </w:tcPr>
          <w:p>
            <w:pPr>
              <w:jc w:val="center"/>
            </w:pPr>
            <w:r/>
            <w:r>
              <w:rPr>
                <w:rFonts w:ascii="Times New Roman" w:hAnsi="Times New Roman"/>
                <w:b w:val="0"/>
                <w:sz w:val="19"/>
              </w:rPr>
              <w:t>13</w:t>
            </w:r>
          </w:p>
        </w:tc>
        <w:tc>
          <w:tcPr>
            <w:tcW w:type="dxa" w:w="1958"/>
            <w:vAlign w:val="center"/>
          </w:tcPr>
          <w:p>
            <w:pPr>
              <w:jc w:val="center"/>
            </w:pPr>
            <w:r/>
            <w:r>
              <w:rPr>
                <w:rFonts w:ascii="Times New Roman" w:hAnsi="Times New Roman"/>
                <w:b w:val="0"/>
                <w:sz w:val="19"/>
              </w:rPr>
              <w:t>47.00</w:t>
            </w:r>
          </w:p>
        </w:tc>
        <w:tc>
          <w:tcPr>
            <w:tcW w:type="dxa" w:w="1958"/>
            <w:vAlign w:val="center"/>
          </w:tcPr>
          <w:p>
            <w:pPr>
              <w:jc w:val="center"/>
            </w:pPr>
            <w:r/>
            <w:r>
              <w:rPr>
                <w:rFonts w:ascii="Times New Roman" w:hAnsi="Times New Roman"/>
                <w:b w:val="0"/>
                <w:sz w:val="19"/>
              </w:rPr>
              <w:t>3464</w:t>
            </w:r>
          </w:p>
        </w:tc>
        <w:tc>
          <w:tcPr>
            <w:tcW w:type="dxa" w:w="1958"/>
            <w:vAlign w:val="center"/>
          </w:tcPr>
          <w:p>
            <w:pPr>
              <w:jc w:val="center"/>
            </w:pPr>
            <w:r/>
            <w:r>
              <w:rPr>
                <w:rFonts w:ascii="Times New Roman" w:hAnsi="Times New Roman"/>
                <w:b w:val="0"/>
                <w:sz w:val="19"/>
              </w:rPr>
              <w:t>0.54</w:t>
            </w:r>
          </w:p>
        </w:tc>
      </w:tr>
    </w:tbl>
    <w:p/>
    <w:p>
      <w:pPr>
        <w:spacing w:after="100" w:line="259" w:lineRule="auto"/>
      </w:pPr>
      <w:r>
        <w:rPr>
          <w:rFonts w:ascii="Times New Roman" w:hAnsi="Times New Roman"/>
          <w:sz w:val="22"/>
        </w:rPr>
        <w:t>The worst 500 failures have a distinct profile. Their median array size is 13,320.5 compared with 2,500 for all failures and 501 for the full dataset. They also show weaker longest-run structure, higher inversion ratio, and much lower duplicate/frequency concentration than ordinary failures. This indicates that the highest regret cases are not random noise; they are concentrated in structurally difficult regions where the class boundary is expensive when crossed incorrectly.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vAlign w:val="center"/>
          </w:tcPr>
          <w:p>
            <w:pPr>
              <w:jc w:val="center"/>
            </w:pPr>
            <w:r/>
            <w:r>
              <w:rPr>
                <w:rFonts w:ascii="Times New Roman" w:hAnsi="Times New Roman"/>
                <w:b/>
                <w:color w:val="FFFFFF"/>
                <w:sz w:val="19"/>
              </w:rPr>
              <w:t>Feature</w:t>
            </w:r>
          </w:p>
        </w:tc>
        <w:tc>
          <w:tcPr>
            <w:tcW w:type="dxa" w:w="2448"/>
            <w:shd w:fill="1F4E79"/>
            <w:vAlign w:val="center"/>
          </w:tcPr>
          <w:p>
            <w:pPr>
              <w:jc w:val="center"/>
            </w:pPr>
            <w:r/>
            <w:r>
              <w:rPr>
                <w:rFonts w:ascii="Times New Roman" w:hAnsi="Times New Roman"/>
                <w:b/>
                <w:color w:val="FFFFFF"/>
                <w:sz w:val="19"/>
              </w:rPr>
              <w:t>Worst failures</w:t>
            </w:r>
          </w:p>
        </w:tc>
        <w:tc>
          <w:tcPr>
            <w:tcW w:type="dxa" w:w="2448"/>
            <w:shd w:fill="1F4E79"/>
            <w:vAlign w:val="center"/>
          </w:tcPr>
          <w:p>
            <w:pPr>
              <w:jc w:val="center"/>
            </w:pPr>
            <w:r/>
            <w:r>
              <w:rPr>
                <w:rFonts w:ascii="Times New Roman" w:hAnsi="Times New Roman"/>
                <w:b/>
                <w:color w:val="FFFFFF"/>
                <w:sz w:val="19"/>
              </w:rPr>
              <w:t>All failures</w:t>
            </w:r>
          </w:p>
        </w:tc>
        <w:tc>
          <w:tcPr>
            <w:tcW w:type="dxa" w:w="2448"/>
            <w:shd w:fill="1F4E79"/>
            <w:vAlign w:val="center"/>
          </w:tcPr>
          <w:p>
            <w:pPr>
              <w:jc w:val="center"/>
            </w:pPr>
            <w:r/>
            <w:r>
              <w:rPr>
                <w:rFonts w:ascii="Times New Roman" w:hAnsi="Times New Roman"/>
                <w:b/>
                <w:color w:val="FFFFFF"/>
                <w:sz w:val="19"/>
              </w:rPr>
              <w:t>All data</w:t>
            </w:r>
          </w:p>
        </w:tc>
      </w:tr>
      <w:tr>
        <w:tc>
          <w:tcPr>
            <w:tcW w:type="dxa" w:w="2448"/>
            <w:vAlign w:val="center"/>
          </w:tcPr>
          <w:p>
            <w:pPr>
              <w:jc w:val="center"/>
            </w:pPr>
            <w:r/>
            <w:r>
              <w:rPr>
                <w:rFonts w:ascii="Times New Roman" w:hAnsi="Times New Roman"/>
                <w:b w:val="0"/>
                <w:sz w:val="19"/>
              </w:rPr>
              <w:t>n_elements</w:t>
            </w:r>
          </w:p>
        </w:tc>
        <w:tc>
          <w:tcPr>
            <w:tcW w:type="dxa" w:w="2448"/>
            <w:vAlign w:val="center"/>
          </w:tcPr>
          <w:p>
            <w:pPr>
              <w:jc w:val="center"/>
            </w:pPr>
            <w:r/>
            <w:r>
              <w:rPr>
                <w:rFonts w:ascii="Times New Roman" w:hAnsi="Times New Roman"/>
                <w:b w:val="0"/>
                <w:sz w:val="19"/>
              </w:rPr>
              <w:t>1.332e+04</w:t>
            </w:r>
          </w:p>
        </w:tc>
        <w:tc>
          <w:tcPr>
            <w:tcW w:type="dxa" w:w="2448"/>
            <w:vAlign w:val="center"/>
          </w:tcPr>
          <w:p>
            <w:pPr>
              <w:jc w:val="center"/>
            </w:pPr>
            <w:r/>
            <w:r>
              <w:rPr>
                <w:rFonts w:ascii="Times New Roman" w:hAnsi="Times New Roman"/>
                <w:b w:val="0"/>
                <w:sz w:val="19"/>
              </w:rPr>
              <w:t>2500</w:t>
            </w:r>
          </w:p>
        </w:tc>
        <w:tc>
          <w:tcPr>
            <w:tcW w:type="dxa" w:w="2448"/>
            <w:vAlign w:val="center"/>
          </w:tcPr>
          <w:p>
            <w:pPr>
              <w:jc w:val="center"/>
            </w:pPr>
            <w:r/>
            <w:r>
              <w:rPr>
                <w:rFonts w:ascii="Times New Roman" w:hAnsi="Times New Roman"/>
                <w:b w:val="0"/>
                <w:sz w:val="19"/>
              </w:rPr>
              <w:t>501</w:t>
            </w:r>
          </w:p>
        </w:tc>
      </w:tr>
      <w:tr>
        <w:tc>
          <w:tcPr>
            <w:tcW w:type="dxa" w:w="2448"/>
            <w:vAlign w:val="center"/>
          </w:tcPr>
          <w:p>
            <w:pPr>
              <w:jc w:val="center"/>
            </w:pPr>
            <w:r/>
            <w:r>
              <w:rPr>
                <w:rFonts w:ascii="Times New Roman" w:hAnsi="Times New Roman"/>
                <w:b w:val="0"/>
                <w:sz w:val="19"/>
              </w:rPr>
              <w:t>adj_sorted_ratio</w:t>
            </w:r>
          </w:p>
        </w:tc>
        <w:tc>
          <w:tcPr>
            <w:tcW w:type="dxa" w:w="2448"/>
            <w:vAlign w:val="center"/>
          </w:tcPr>
          <w:p>
            <w:pPr>
              <w:jc w:val="center"/>
            </w:pPr>
            <w:r/>
            <w:r>
              <w:rPr>
                <w:rFonts w:ascii="Times New Roman" w:hAnsi="Times New Roman"/>
                <w:b w:val="0"/>
                <w:sz w:val="19"/>
              </w:rPr>
              <w:t>0.5102</w:t>
            </w:r>
          </w:p>
        </w:tc>
        <w:tc>
          <w:tcPr>
            <w:tcW w:type="dxa" w:w="2448"/>
            <w:vAlign w:val="center"/>
          </w:tcPr>
          <w:p>
            <w:pPr>
              <w:jc w:val="center"/>
            </w:pPr>
            <w:r/>
            <w:r>
              <w:rPr>
                <w:rFonts w:ascii="Times New Roman" w:hAnsi="Times New Roman"/>
                <w:b w:val="0"/>
                <w:sz w:val="19"/>
              </w:rPr>
              <w:t>0.519</w:t>
            </w:r>
          </w:p>
        </w:tc>
        <w:tc>
          <w:tcPr>
            <w:tcW w:type="dxa" w:w="2448"/>
            <w:vAlign w:val="center"/>
          </w:tcPr>
          <w:p>
            <w:pPr>
              <w:jc w:val="center"/>
            </w:pPr>
            <w:r/>
            <w:r>
              <w:rPr>
                <w:rFonts w:ascii="Times New Roman" w:hAnsi="Times New Roman"/>
                <w:b w:val="0"/>
                <w:sz w:val="19"/>
              </w:rPr>
              <w:t>0.5302</w:t>
            </w:r>
          </w:p>
        </w:tc>
      </w:tr>
      <w:tr>
        <w:tc>
          <w:tcPr>
            <w:tcW w:type="dxa" w:w="2448"/>
            <w:vAlign w:val="center"/>
          </w:tcPr>
          <w:p>
            <w:pPr>
              <w:jc w:val="center"/>
            </w:pPr>
            <w:r/>
            <w:r>
              <w:rPr>
                <w:rFonts w:ascii="Times New Roman" w:hAnsi="Times New Roman"/>
                <w:b w:val="0"/>
                <w:sz w:val="19"/>
              </w:rPr>
              <w:t>inversion_ratio</w:t>
            </w:r>
          </w:p>
        </w:tc>
        <w:tc>
          <w:tcPr>
            <w:tcW w:type="dxa" w:w="2448"/>
            <w:vAlign w:val="center"/>
          </w:tcPr>
          <w:p>
            <w:pPr>
              <w:jc w:val="center"/>
            </w:pPr>
            <w:r/>
            <w:r>
              <w:rPr>
                <w:rFonts w:ascii="Times New Roman" w:hAnsi="Times New Roman"/>
                <w:b w:val="0"/>
                <w:sz w:val="19"/>
              </w:rPr>
              <w:t>0.4949</w:t>
            </w:r>
          </w:p>
        </w:tc>
        <w:tc>
          <w:tcPr>
            <w:tcW w:type="dxa" w:w="2448"/>
            <w:vAlign w:val="center"/>
          </w:tcPr>
          <w:p>
            <w:pPr>
              <w:jc w:val="center"/>
            </w:pPr>
            <w:r/>
            <w:r>
              <w:rPr>
                <w:rFonts w:ascii="Times New Roman" w:hAnsi="Times New Roman"/>
                <w:b w:val="0"/>
                <w:sz w:val="19"/>
              </w:rPr>
              <w:t>0.4865</w:t>
            </w:r>
          </w:p>
        </w:tc>
        <w:tc>
          <w:tcPr>
            <w:tcW w:type="dxa" w:w="2448"/>
            <w:vAlign w:val="center"/>
          </w:tcPr>
          <w:p>
            <w:pPr>
              <w:jc w:val="center"/>
            </w:pPr>
            <w:r/>
            <w:r>
              <w:rPr>
                <w:rFonts w:ascii="Times New Roman" w:hAnsi="Times New Roman"/>
                <w:b w:val="0"/>
                <w:sz w:val="19"/>
              </w:rPr>
              <w:t>0.4686</w:t>
            </w:r>
          </w:p>
        </w:tc>
      </w:tr>
      <w:tr>
        <w:tc>
          <w:tcPr>
            <w:tcW w:type="dxa" w:w="2448"/>
            <w:vAlign w:val="center"/>
          </w:tcPr>
          <w:p>
            <w:pPr>
              <w:jc w:val="center"/>
            </w:pPr>
            <w:r/>
            <w:r>
              <w:rPr>
                <w:rFonts w:ascii="Times New Roman" w:hAnsi="Times New Roman"/>
                <w:b w:val="0"/>
                <w:sz w:val="19"/>
              </w:rPr>
              <w:t>runs_ratio</w:t>
            </w:r>
          </w:p>
        </w:tc>
        <w:tc>
          <w:tcPr>
            <w:tcW w:type="dxa" w:w="2448"/>
            <w:vAlign w:val="center"/>
          </w:tcPr>
          <w:p>
            <w:pPr>
              <w:jc w:val="center"/>
            </w:pPr>
            <w:r/>
            <w:r>
              <w:rPr>
                <w:rFonts w:ascii="Times New Roman" w:hAnsi="Times New Roman"/>
                <w:b w:val="0"/>
                <w:sz w:val="19"/>
              </w:rPr>
              <w:t>0.421</w:t>
            </w:r>
          </w:p>
        </w:tc>
        <w:tc>
          <w:tcPr>
            <w:tcW w:type="dxa" w:w="2448"/>
            <w:vAlign w:val="center"/>
          </w:tcPr>
          <w:p>
            <w:pPr>
              <w:jc w:val="center"/>
            </w:pPr>
            <w:r/>
            <w:r>
              <w:rPr>
                <w:rFonts w:ascii="Times New Roman" w:hAnsi="Times New Roman"/>
                <w:b w:val="0"/>
                <w:sz w:val="19"/>
              </w:rPr>
              <w:t>0.623</w:t>
            </w:r>
          </w:p>
        </w:tc>
        <w:tc>
          <w:tcPr>
            <w:tcW w:type="dxa" w:w="2448"/>
            <w:vAlign w:val="center"/>
          </w:tcPr>
          <w:p>
            <w:pPr>
              <w:jc w:val="center"/>
            </w:pPr>
            <w:r/>
            <w:r>
              <w:rPr>
                <w:rFonts w:ascii="Times New Roman" w:hAnsi="Times New Roman"/>
                <w:b w:val="0"/>
                <w:sz w:val="19"/>
              </w:rPr>
              <w:t>0.5054</w:t>
            </w:r>
          </w:p>
        </w:tc>
      </w:tr>
      <w:tr>
        <w:tc>
          <w:tcPr>
            <w:tcW w:type="dxa" w:w="2448"/>
            <w:vAlign w:val="center"/>
          </w:tcPr>
          <w:p>
            <w:pPr>
              <w:jc w:val="center"/>
            </w:pPr>
            <w:r/>
            <w:r>
              <w:rPr>
                <w:rFonts w:ascii="Times New Roman" w:hAnsi="Times New Roman"/>
                <w:b w:val="0"/>
                <w:sz w:val="19"/>
              </w:rPr>
              <w:t>longest_run_ratio</w:t>
            </w:r>
          </w:p>
        </w:tc>
        <w:tc>
          <w:tcPr>
            <w:tcW w:type="dxa" w:w="2448"/>
            <w:vAlign w:val="center"/>
          </w:tcPr>
          <w:p>
            <w:pPr>
              <w:jc w:val="center"/>
            </w:pPr>
            <w:r/>
            <w:r>
              <w:rPr>
                <w:rFonts w:ascii="Times New Roman" w:hAnsi="Times New Roman"/>
                <w:b w:val="0"/>
                <w:sz w:val="19"/>
              </w:rPr>
              <w:t>0.001862</w:t>
            </w:r>
          </w:p>
        </w:tc>
        <w:tc>
          <w:tcPr>
            <w:tcW w:type="dxa" w:w="2448"/>
            <w:vAlign w:val="center"/>
          </w:tcPr>
          <w:p>
            <w:pPr>
              <w:jc w:val="center"/>
            </w:pPr>
            <w:r/>
            <w:r>
              <w:rPr>
                <w:rFonts w:ascii="Times New Roman" w:hAnsi="Times New Roman"/>
                <w:b w:val="0"/>
                <w:sz w:val="19"/>
              </w:rPr>
              <w:t>0.005</w:t>
            </w:r>
          </w:p>
        </w:tc>
        <w:tc>
          <w:tcPr>
            <w:tcW w:type="dxa" w:w="2448"/>
            <w:vAlign w:val="center"/>
          </w:tcPr>
          <w:p>
            <w:pPr>
              <w:jc w:val="center"/>
            </w:pPr>
            <w:r/>
            <w:r>
              <w:rPr>
                <w:rFonts w:ascii="Times New Roman" w:hAnsi="Times New Roman"/>
                <w:b w:val="0"/>
                <w:sz w:val="19"/>
              </w:rPr>
              <w:t>0.02</w:t>
            </w:r>
          </w:p>
        </w:tc>
      </w:tr>
      <w:tr>
        <w:tc>
          <w:tcPr>
            <w:tcW w:type="dxa" w:w="2448"/>
            <w:vAlign w:val="center"/>
          </w:tcPr>
          <w:p>
            <w:pPr>
              <w:jc w:val="center"/>
            </w:pPr>
            <w:r/>
            <w:r>
              <w:rPr>
                <w:rFonts w:ascii="Times New Roman" w:hAnsi="Times New Roman"/>
                <w:b w:val="0"/>
                <w:sz w:val="19"/>
              </w:rPr>
              <w:t>duplicate_ratio</w:t>
            </w:r>
          </w:p>
        </w:tc>
        <w:tc>
          <w:tcPr>
            <w:tcW w:type="dxa" w:w="2448"/>
            <w:vAlign w:val="center"/>
          </w:tcPr>
          <w:p>
            <w:pPr>
              <w:jc w:val="center"/>
            </w:pPr>
            <w:r/>
            <w:r>
              <w:rPr>
                <w:rFonts w:ascii="Times New Roman" w:hAnsi="Times New Roman"/>
                <w:b w:val="0"/>
                <w:sz w:val="19"/>
              </w:rPr>
              <w:t>0.07401</w:t>
            </w:r>
          </w:p>
        </w:tc>
        <w:tc>
          <w:tcPr>
            <w:tcW w:type="dxa" w:w="2448"/>
            <w:vAlign w:val="center"/>
          </w:tcPr>
          <w:p>
            <w:pPr>
              <w:jc w:val="center"/>
            </w:pPr>
            <w:r/>
            <w:r>
              <w:rPr>
                <w:rFonts w:ascii="Times New Roman" w:hAnsi="Times New Roman"/>
                <w:b w:val="0"/>
                <w:sz w:val="19"/>
              </w:rPr>
              <w:t>0.4184</w:t>
            </w:r>
          </w:p>
        </w:tc>
        <w:tc>
          <w:tcPr>
            <w:tcW w:type="dxa" w:w="2448"/>
            <w:vAlign w:val="center"/>
          </w:tcPr>
          <w:p>
            <w:pPr>
              <w:jc w:val="center"/>
            </w:pPr>
            <w:r/>
            <w:r>
              <w:rPr>
                <w:rFonts w:ascii="Times New Roman" w:hAnsi="Times New Roman"/>
                <w:b w:val="0"/>
                <w:sz w:val="19"/>
              </w:rPr>
              <w:t>0.01285</w:t>
            </w:r>
          </w:p>
        </w:tc>
      </w:tr>
      <w:tr>
        <w:tc>
          <w:tcPr>
            <w:tcW w:type="dxa" w:w="2448"/>
            <w:vAlign w:val="center"/>
          </w:tcPr>
          <w:p>
            <w:pPr>
              <w:jc w:val="center"/>
            </w:pPr>
            <w:r/>
            <w:r>
              <w:rPr>
                <w:rFonts w:ascii="Times New Roman" w:hAnsi="Times New Roman"/>
                <w:b w:val="0"/>
                <w:sz w:val="19"/>
              </w:rPr>
              <w:t>top5_freq_ratio</w:t>
            </w:r>
          </w:p>
        </w:tc>
        <w:tc>
          <w:tcPr>
            <w:tcW w:type="dxa" w:w="2448"/>
            <w:vAlign w:val="center"/>
          </w:tcPr>
          <w:p>
            <w:pPr>
              <w:jc w:val="center"/>
            </w:pPr>
            <w:r/>
            <w:r>
              <w:rPr>
                <w:rFonts w:ascii="Times New Roman" w:hAnsi="Times New Roman"/>
                <w:b w:val="0"/>
                <w:sz w:val="19"/>
              </w:rPr>
              <w:t>0.003811</w:t>
            </w:r>
          </w:p>
        </w:tc>
        <w:tc>
          <w:tcPr>
            <w:tcW w:type="dxa" w:w="2448"/>
            <w:vAlign w:val="center"/>
          </w:tcPr>
          <w:p>
            <w:pPr>
              <w:jc w:val="center"/>
            </w:pPr>
            <w:r/>
            <w:r>
              <w:rPr>
                <w:rFonts w:ascii="Times New Roman" w:hAnsi="Times New Roman"/>
                <w:b w:val="0"/>
                <w:sz w:val="19"/>
              </w:rPr>
              <w:t>0.1594</w:t>
            </w:r>
          </w:p>
        </w:tc>
        <w:tc>
          <w:tcPr>
            <w:tcW w:type="dxa" w:w="2448"/>
            <w:vAlign w:val="center"/>
          </w:tcPr>
          <w:p>
            <w:pPr>
              <w:jc w:val="center"/>
            </w:pPr>
            <w:r/>
            <w:r>
              <w:rPr>
                <w:rFonts w:ascii="Times New Roman" w:hAnsi="Times New Roman"/>
                <w:b w:val="0"/>
                <w:sz w:val="19"/>
              </w:rPr>
              <w:t>0.02</w:t>
            </w:r>
          </w:p>
        </w:tc>
      </w:tr>
      <w:tr>
        <w:tc>
          <w:tcPr>
            <w:tcW w:type="dxa" w:w="2448"/>
            <w:vAlign w:val="center"/>
          </w:tcPr>
          <w:p>
            <w:pPr>
              <w:jc w:val="center"/>
            </w:pPr>
            <w:r/>
            <w:r>
              <w:rPr>
                <w:rFonts w:ascii="Times New Roman" w:hAnsi="Times New Roman"/>
                <w:b w:val="0"/>
                <w:sz w:val="19"/>
              </w:rPr>
              <w:t>entropy_ratio</w:t>
            </w:r>
          </w:p>
        </w:tc>
        <w:tc>
          <w:tcPr>
            <w:tcW w:type="dxa" w:w="2448"/>
            <w:vAlign w:val="center"/>
          </w:tcPr>
          <w:p>
            <w:pPr>
              <w:jc w:val="center"/>
            </w:pPr>
            <w:r/>
            <w:r>
              <w:rPr>
                <w:rFonts w:ascii="Times New Roman" w:hAnsi="Times New Roman"/>
                <w:b w:val="0"/>
                <w:sz w:val="19"/>
              </w:rPr>
              <w:t>0.7835</w:t>
            </w:r>
          </w:p>
        </w:tc>
        <w:tc>
          <w:tcPr>
            <w:tcW w:type="dxa" w:w="2448"/>
            <w:vAlign w:val="center"/>
          </w:tcPr>
          <w:p>
            <w:pPr>
              <w:jc w:val="center"/>
            </w:pPr>
            <w:r/>
            <w:r>
              <w:rPr>
                <w:rFonts w:ascii="Times New Roman" w:hAnsi="Times New Roman"/>
                <w:b w:val="0"/>
                <w:sz w:val="19"/>
              </w:rPr>
              <w:t>0.6463</w:t>
            </w:r>
          </w:p>
        </w:tc>
        <w:tc>
          <w:tcPr>
            <w:tcW w:type="dxa" w:w="2448"/>
            <w:vAlign w:val="center"/>
          </w:tcPr>
          <w:p>
            <w:pPr>
              <w:jc w:val="center"/>
            </w:pPr>
            <w:r/>
            <w:r>
              <w:rPr>
                <w:rFonts w:ascii="Times New Roman" w:hAnsi="Times New Roman"/>
                <w:b w:val="0"/>
                <w:sz w:val="19"/>
              </w:rPr>
              <w:t>0.7573</w:t>
            </w:r>
          </w:p>
        </w:tc>
      </w:tr>
    </w:tbl>
    <w:p/>
    <w:p>
      <w:pPr>
        <w:spacing w:before="120" w:after="80"/>
      </w:pPr>
      <w:r>
        <w:rPr>
          <w:rFonts w:ascii="Times New Roman" w:hAnsi="Times New Roman"/>
          <w:b/>
          <w:color w:val="1F4E79"/>
          <w:sz w:val="24"/>
        </w:rPr>
        <w:t>Interpretation</w:t>
      </w:r>
    </w:p>
    <w:p>
      <w:pPr>
        <w:spacing w:after="100" w:line="259" w:lineRule="auto"/>
      </w:pPr>
      <w:r>
        <w:rPr>
          <w:rFonts w:ascii="Times New Roman" w:hAnsi="Times New Roman"/>
          <w:sz w:val="22"/>
        </w:rPr>
        <w:t>This final-three behaviour study supports the same conclusion as the wider algorithm portfolio reduction, but at a more detailed level. The retained algorithms are not interchangeable labels. Timsort captures ordered and run-adaptive structure, heapsort captures duplicate-heavy and frequency-concentrated regions, and introsort appears in a smaller but still meaningful part of the structural space. The selector succeeds when those structural signals are clear and fails mainly near boundaries or in larger high-regret regions where the wrong class carries measurable runtime cost.</w:t>
      </w:r>
    </w:p>
    <w:p>
      <w:pPr>
        <w:spacing w:after="100" w:line="259" w:lineRule="auto"/>
      </w:pPr>
      <w:r>
        <w:rPr>
          <w:rFonts w:ascii="Times New Roman" w:hAnsi="Times New Roman"/>
          <w:sz w:val="22"/>
        </w:rPr>
        <w:t>The analysis also explains why the thesis evaluates runtime value rather than classification accuracy alone. A failed label can be harmless when two algorithms are tied, while a smaller number of errors can dominate regret if the selected algorithm is far from the oracle runtime. The practical question is therefore not only whether the classifier predicts the fastest label, but whether its mistakes preserve most of the SBS-to-VBS runtime gap.</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