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line="360"/>
        <w:jc w:val="center"/>
      </w:pPr>
      <w:r>
        <w:rPr>
          <w:rFonts w:ascii="Times New Roman" w:cs="Times New Roman" w:eastAsia="Times New Roman" w:hAnsi="Times New Roman"/>
          <w:b/>
          <w:bCs/>
          <w:sz w:val="28"/>
          <w:szCs w:val="28"/>
        </w:rPr>
        <w:t xml:space="preserve">CHAPTER FOUR: RESULTS AND DISCUSSION</w:t>
      </w:r>
    </w:p>
    <w:p>
      <w:pPr>
        <w:spacing w:after="80" w:before="200" w:line="360"/>
        <w:jc w:val="left"/>
      </w:pPr>
      <w:r>
        <w:rPr>
          <w:rFonts w:ascii="Times New Roman" w:cs="Times New Roman" w:eastAsia="Times New Roman" w:hAnsi="Times New Roman"/>
          <w:b/>
          <w:bCs/>
          <w:sz w:val="24"/>
          <w:szCs w:val="24"/>
        </w:rPr>
        <w:t xml:space="preserve">4.1 Production Model Performance</w:t>
      </w:r>
    </w:p>
    <w:p>
      <w:pPr>
        <w:spacing w:after="60" w:line="360"/>
        <w:jc w:val="both"/>
      </w:pPr>
      <w:r>
        <w:rPr>
          <w:rFonts w:ascii="Times New Roman" w:cs="Times New Roman" w:eastAsia="Times New Roman" w:hAnsi="Times New Roman"/>
          <w:sz w:val="24"/>
          <w:szCs w:val="24"/>
        </w:rPr>
        <w:t xml:space="preserve">The production classifier achieved 76.1% top-1 accuracy on 29,494 held-out test arrays. Timsort is detected with 94.5% recall, but introsort recall is only 52.1%, with 43.8% of introsort arrays labelled as heapsort. This asymmetry reflects the algorithms themselves: introsort falls back to heapsort when recursion depth is exceeded, so on inputs where the fallback triggers early the two execute nearly identical code paths. The regret analysis over 1,188,265 arrays confirms that these errors are practically costless: the model closes 93.1% of the gap between the Single Best Solver (21.267 s) and the Virtual Best Solver (17.195 s), with 89.6% of predictions incurring zero regret. Standard accuracy treats a costless introsort/heapsort swap identically to a costly timsort misclassification; regret weights each error by actual runtime cost.</w:t>
      </w:r>
    </w:p>
    <w:p>
      <w:pPr>
        <w:spacing w:after="60" w:line="360"/>
        <w:jc w:val="both"/>
      </w:pPr>
      <w:r>
        <w:rPr>
          <w:rFonts w:ascii="Times New Roman" w:cs="Times New Roman" w:eastAsia="Times New Roman" w:hAnsi="Times New Roman"/>
          <w:sz w:val="24"/>
          <w:szCs w:val="24"/>
        </w:rPr>
        <w:t xml:space="preserve">The feature importance structure confirms that the classifier captures genuine algorithmic mechanisms. Three groups supply 75.2% of total gain: array length (26.2%) captures cache hierarchy crossover points; the repetition group (28.0%) measures duplicate density, which governs quicksort partition quality; and the ordering group (21.0%) quantifies pre-existing sorted runs that give timsort its adaptive advantage.</w:t>
      </w:r>
    </w:p>
    <w:p>
      <w:pPr>
        <w:spacing w:after="80" w:before="200" w:line="360"/>
        <w:jc w:val="left"/>
      </w:pPr>
      <w:r>
        <w:rPr>
          <w:rFonts w:ascii="Times New Roman" w:cs="Times New Roman" w:eastAsia="Times New Roman" w:hAnsi="Times New Roman"/>
          <w:b/>
          <w:bCs/>
          <w:sz w:val="24"/>
          <w:szCs w:val="24"/>
        </w:rPr>
        <w:t xml:space="preserve">4.2 The Binary Nature of the Selection Problem</w:t>
      </w:r>
    </w:p>
    <w:p>
      <w:pPr>
        <w:spacing w:after="60" w:line="360"/>
        <w:jc w:val="both"/>
      </w:pPr>
      <w:r>
        <w:rPr>
          <w:rFonts w:ascii="Times New Roman" w:cs="Times New Roman" w:eastAsia="Times New Roman" w:hAnsi="Times New Roman"/>
          <w:sz w:val="24"/>
          <w:szCs w:val="24"/>
        </w:rPr>
        <w:t xml:space="preserve">Seven model iterations progressively eliminated alternative formulations. The v1 regressor (44.4%) failed because absolute runtime prediction is dominated by array size; classification (v2, 62.5%) resolved this; timing-based features (v3, 100%) proved near-perfect discrimination exists but requires features that presuppose sorting. The v6 source-aware split (71.2%, 45.6% gap closed) revealed that shared time series inflate test performance by 4.9 percentage points. The v7 regret-weighted loss degraded both metrics relative to v5, indicating that label noise is better tolerated by a clean cross-entropy objective than compensated through cost-sensitive reweighting.</w:t>
      </w:r>
    </w:p>
    <w:p>
      <w:pPr>
        <w:spacing w:after="60" w:line="360"/>
        <w:jc w:val="both"/>
      </w:pPr>
      <w:r>
        <w:rPr>
          <w:rFonts w:ascii="Times New Roman" w:cs="Times New Roman" w:eastAsia="Times New Roman" w:hAnsi="Times New Roman"/>
          <w:sz w:val="24"/>
          <w:szCs w:val="24"/>
        </w:rPr>
        <w:t xml:space="preserve">The v8 binary cascade isolated the theoretical boundary of the current feature space. Stage 1 (timsort versus non-timsort) achieved AUC 0.982; Stage 2 (introsort versus heapsort) achieved only 0.603, barely above random chance. The residual confusion is not a training deficiency but a feature-space limitation: these algorithms diverge through microarchitectural effects, specifically cache line utilisation and branch prediction accuracy, properties that cannot be inferred from value-level statistics and would require hardware performance counters to measure.</w:t>
      </w:r>
    </w:p>
    <w:p>
      <w:pPr>
        <w:spacing w:after="80" w:before="200" w:line="360"/>
        <w:jc w:val="left"/>
      </w:pPr>
      <w:r>
        <w:rPr>
          <w:rFonts w:ascii="Times New Roman" w:cs="Times New Roman" w:eastAsia="Times New Roman" w:hAnsi="Times New Roman"/>
          <w:b/>
          <w:bCs/>
          <w:sz w:val="24"/>
          <w:szCs w:val="24"/>
        </w:rPr>
        <w:t xml:space="preserve">4.3 Generalisation and Domain Routing</w:t>
      </w:r>
    </w:p>
    <w:p>
      <w:pPr>
        <w:spacing w:after="60" w:line="360"/>
        <w:jc w:val="both"/>
      </w:pPr>
      <w:r>
        <w:rPr>
          <w:rFonts w:ascii="Times New Roman" w:cs="Times New Roman" w:eastAsia="Times New Roman" w:hAnsi="Times New Roman"/>
          <w:sz w:val="24"/>
          <w:szCs w:val="24"/>
        </w:rPr>
        <w:t xml:space="preserve">The leave-one-domain-out cross-validation (Table 4.1) demonstrates that the learned features transfer across structurally distinct data sources. Gap closed exceeds 75% in every fold and 89% in four of five. The Weather fold illustrates the central finding: accuracy drops to 60.6% yet gap closed remains 89.7%, because errors fall in the low-cost introsort/heapsort region. This consistent decoupling across all five folds establishes the accuracy/regret divergence as a structural property of the sorting selection problem.</w:t>
      </w:r>
    </w:p>
    <w:p>
      <w:pPr>
        <w:spacing w:after="40" w:before="100" w:line="360"/>
        <w:jc w:val="center"/>
      </w:pPr>
      <w:r>
        <w:rPr>
          <w:rFonts w:ascii="Times New Roman" w:cs="Times New Roman" w:eastAsia="Times New Roman" w:hAnsi="Times New Roman"/>
          <w:b/>
          <w:bCs/>
          <w:i/>
          <w:iCs/>
          <w:sz w:val="20"/>
          <w:szCs w:val="20"/>
        </w:rPr>
        <w:t xml:space="preserve">Table 4.1:</w:t>
      </w:r>
      <w:r>
        <w:rPr>
          <w:rFonts w:ascii="Times New Roman" w:cs="Times New Roman" w:eastAsia="Times New Roman" w:hAnsi="Times New Roman"/>
          <w:i/>
          <w:iCs/>
          <w:sz w:val="20"/>
          <w:szCs w:val="20"/>
        </w:rPr>
        <w:t xml:space="preserve"> Leave-one-domain-out cross-validation results.</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100"/>
        <w:gridCol w:w="1100"/>
        <w:gridCol w:w="3521"/>
      </w:tblGrid>
      <w:tr>
        <w:tc>
          <w:tcPr>
            <w:tcW w:type="dxa" w:w="1400"/>
            <w:tcBorders>
              <w:top w:val="single" w:color="999999" w:sz="1"/>
              <w:left w:val="single" w:color="999999" w:sz="1"/>
              <w:bottom w:val="single" w:color="999999" w:sz="1"/>
              <w:right w:val="single" w:color="999999" w:sz="1"/>
            </w:tcBorders>
            <w:shd w:fill="D9E2F3" w:val="clear"/>
            <w:tcMar>
              <w:top w:type="dxa" w:w="30"/>
              <w:left w:type="dxa" w:w="50"/>
              <w:bottom w:type="dxa" w:w="30"/>
              <w:right w:type="dxa" w:w="50"/>
            </w:tcMar>
          </w:tcPr>
          <w:p>
            <w:pPr>
              <w:jc w:val="center"/>
            </w:pPr>
            <w:r>
              <w:rPr>
                <w:rFonts w:ascii="Times New Roman" w:cs="Times New Roman" w:eastAsia="Times New Roman" w:hAnsi="Times New Roman"/>
                <w:b/>
                <w:bCs/>
                <w:sz w:val="18"/>
                <w:szCs w:val="18"/>
              </w:rPr>
              <w:t xml:space="preserve">Held-out domain</w:t>
            </w:r>
          </w:p>
        </w:tc>
        <w:tc>
          <w:tcPr>
            <w:tcW w:type="dxa" w:w="1100"/>
            <w:tcBorders>
              <w:top w:val="single" w:color="999999" w:sz="1"/>
              <w:left w:val="single" w:color="999999" w:sz="1"/>
              <w:bottom w:val="single" w:color="999999" w:sz="1"/>
              <w:right w:val="single" w:color="999999" w:sz="1"/>
            </w:tcBorders>
            <w:shd w:fill="D9E2F3" w:val="clear"/>
            <w:tcMar>
              <w:top w:type="dxa" w:w="30"/>
              <w:left w:type="dxa" w:w="50"/>
              <w:bottom w:type="dxa" w:w="30"/>
              <w:right w:type="dxa" w:w="50"/>
            </w:tcMar>
          </w:tcPr>
          <w:p>
            <w:pPr>
              <w:jc w:val="center"/>
            </w:pPr>
            <w:r>
              <w:rPr>
                <w:rFonts w:ascii="Times New Roman" w:cs="Times New Roman" w:eastAsia="Times New Roman" w:hAnsi="Times New Roman"/>
                <w:b/>
                <w:bCs/>
                <w:sz w:val="18"/>
                <w:szCs w:val="18"/>
              </w:rPr>
              <w:t xml:space="preserve">Test size</w:t>
            </w:r>
          </w:p>
        </w:tc>
        <w:tc>
          <w:tcPr>
            <w:tcW w:type="dxa" w:w="1100"/>
            <w:tcBorders>
              <w:top w:val="single" w:color="999999" w:sz="1"/>
              <w:left w:val="single" w:color="999999" w:sz="1"/>
              <w:bottom w:val="single" w:color="999999" w:sz="1"/>
              <w:right w:val="single" w:color="999999" w:sz="1"/>
            </w:tcBorders>
            <w:shd w:fill="D9E2F3" w:val="clear"/>
            <w:tcMar>
              <w:top w:type="dxa" w:w="30"/>
              <w:left w:type="dxa" w:w="50"/>
              <w:bottom w:type="dxa" w:w="30"/>
              <w:right w:type="dxa" w:w="50"/>
            </w:tcMar>
          </w:tcPr>
          <w:p>
            <w:pPr>
              <w:jc w:val="center"/>
            </w:pPr>
            <w:r>
              <w:rPr>
                <w:rFonts w:ascii="Times New Roman" w:cs="Times New Roman" w:eastAsia="Times New Roman" w:hAnsi="Times New Roman"/>
                <w:b/>
                <w:bCs/>
                <w:sz w:val="18"/>
                <w:szCs w:val="18"/>
              </w:rPr>
              <w:t xml:space="preserve">Accuracy (%)</w:t>
            </w:r>
          </w:p>
        </w:tc>
        <w:tc>
          <w:tcPr>
            <w:tcW w:type="dxa" w:w="1100"/>
            <w:tcBorders>
              <w:top w:val="single" w:color="999999" w:sz="1"/>
              <w:left w:val="single" w:color="999999" w:sz="1"/>
              <w:bottom w:val="single" w:color="999999" w:sz="1"/>
              <w:right w:val="single" w:color="999999" w:sz="1"/>
            </w:tcBorders>
            <w:shd w:fill="D9E2F3" w:val="clear"/>
            <w:tcMar>
              <w:top w:type="dxa" w:w="30"/>
              <w:left w:type="dxa" w:w="50"/>
              <w:bottom w:type="dxa" w:w="30"/>
              <w:right w:type="dxa" w:w="50"/>
            </w:tcMar>
          </w:tcPr>
          <w:p>
            <w:pPr>
              <w:jc w:val="center"/>
            </w:pPr>
            <w:r>
              <w:rPr>
                <w:rFonts w:ascii="Times New Roman" w:cs="Times New Roman" w:eastAsia="Times New Roman" w:hAnsi="Times New Roman"/>
                <w:b/>
                <w:bCs/>
                <w:sz w:val="18"/>
                <w:szCs w:val="18"/>
              </w:rPr>
              <w:t xml:space="preserve">Gap closed (%)</w:t>
            </w:r>
          </w:p>
        </w:tc>
        <w:tc>
          <w:tcPr>
            <w:tcW w:type="dxa" w:w="3521"/>
            <w:tcBorders>
              <w:top w:val="single" w:color="999999" w:sz="1"/>
              <w:left w:val="single" w:color="999999" w:sz="1"/>
              <w:bottom w:val="single" w:color="999999" w:sz="1"/>
              <w:right w:val="single" w:color="999999" w:sz="1"/>
            </w:tcBorders>
            <w:shd w:fill="D9E2F3" w:val="clear"/>
            <w:tcMar>
              <w:top w:type="dxa" w:w="30"/>
              <w:left w:type="dxa" w:w="50"/>
              <w:bottom w:type="dxa" w:w="30"/>
              <w:right w:type="dxa" w:w="50"/>
            </w:tcMar>
          </w:tcPr>
          <w:p>
            <w:pPr>
              <w:jc w:val="center"/>
            </w:pPr>
            <w:r>
              <w:rPr>
                <w:rFonts w:ascii="Times New Roman" w:cs="Times New Roman" w:eastAsia="Times New Roman" w:hAnsi="Times New Roman"/>
                <w:b/>
                <w:bCs/>
                <w:sz w:val="18"/>
                <w:szCs w:val="18"/>
              </w:rPr>
              <w:t xml:space="preserve">Zero-regret (%)</w:t>
            </w:r>
          </w:p>
        </w:tc>
      </w:tr>
      <w:tr>
        <w:tc>
          <w:tcPr>
            <w:tcW w:type="dxa" w:w="14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left"/>
            </w:pPr>
            <w:r>
              <w:rPr>
                <w:rFonts w:ascii="Times New Roman" w:cs="Times New Roman" w:eastAsia="Times New Roman" w:hAnsi="Times New Roman"/>
                <w:sz w:val="18"/>
                <w:szCs w:val="18"/>
              </w:rPr>
              <w:t xml:space="preserve">Cryptocurrency</w:t>
            </w:r>
          </w:p>
        </w:tc>
        <w:tc>
          <w:tcPr>
            <w:tcW w:type="dxa" w:w="11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100,000</w:t>
            </w:r>
          </w:p>
        </w:tc>
        <w:tc>
          <w:tcPr>
            <w:tcW w:type="dxa" w:w="11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87.5</w:t>
            </w:r>
          </w:p>
        </w:tc>
        <w:tc>
          <w:tcPr>
            <w:tcW w:type="dxa" w:w="11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90.1</w:t>
            </w:r>
          </w:p>
        </w:tc>
        <w:tc>
          <w:tcPr>
            <w:tcW w:type="dxa" w:w="3521"/>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87.9</w:t>
            </w:r>
          </w:p>
        </w:tc>
      </w:tr>
      <w:tr>
        <w:tc>
          <w:tcPr>
            <w:tcW w:type="dxa" w:w="14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left"/>
            </w:pPr>
            <w:r>
              <w:rPr>
                <w:rFonts w:ascii="Times New Roman" w:cs="Times New Roman" w:eastAsia="Times New Roman" w:hAnsi="Times New Roman"/>
                <w:sz w:val="18"/>
                <w:szCs w:val="18"/>
              </w:rPr>
              <w:t xml:space="preserve">Earthquake</w:t>
            </w:r>
          </w:p>
        </w:tc>
        <w:tc>
          <w:tcPr>
            <w:tcW w:type="dxa" w:w="11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100,003</w:t>
            </w:r>
          </w:p>
        </w:tc>
        <w:tc>
          <w:tcPr>
            <w:tcW w:type="dxa" w:w="11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82.1</w:t>
            </w:r>
          </w:p>
        </w:tc>
        <w:tc>
          <w:tcPr>
            <w:tcW w:type="dxa" w:w="11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95.0</w:t>
            </w:r>
          </w:p>
        </w:tc>
        <w:tc>
          <w:tcPr>
            <w:tcW w:type="dxa" w:w="3521"/>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82.8</w:t>
            </w:r>
          </w:p>
        </w:tc>
      </w:tr>
      <w:tr>
        <w:tc>
          <w:tcPr>
            <w:tcW w:type="dxa" w:w="14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left"/>
            </w:pPr>
            <w:r>
              <w:rPr>
                <w:rFonts w:ascii="Times New Roman" w:cs="Times New Roman" w:eastAsia="Times New Roman" w:hAnsi="Times New Roman"/>
                <w:sz w:val="18"/>
                <w:szCs w:val="18"/>
              </w:rPr>
              <w:t xml:space="preserve">F1 Telemetry</w:t>
            </w:r>
          </w:p>
        </w:tc>
        <w:tc>
          <w:tcPr>
            <w:tcW w:type="dxa" w:w="11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885,042</w:t>
            </w:r>
          </w:p>
        </w:tc>
        <w:tc>
          <w:tcPr>
            <w:tcW w:type="dxa" w:w="11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88.8</w:t>
            </w:r>
          </w:p>
        </w:tc>
        <w:tc>
          <w:tcPr>
            <w:tcW w:type="dxa" w:w="11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75.5</w:t>
            </w:r>
          </w:p>
        </w:tc>
        <w:tc>
          <w:tcPr>
            <w:tcW w:type="dxa" w:w="3521"/>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89.8</w:t>
            </w:r>
          </w:p>
        </w:tc>
      </w:tr>
      <w:tr>
        <w:tc>
          <w:tcPr>
            <w:tcW w:type="dxa" w:w="14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left"/>
            </w:pPr>
            <w:r>
              <w:rPr>
                <w:rFonts w:ascii="Times New Roman" w:cs="Times New Roman" w:eastAsia="Times New Roman" w:hAnsi="Times New Roman"/>
                <w:sz w:val="18"/>
                <w:szCs w:val="18"/>
              </w:rPr>
              <w:t xml:space="preserve">Stock</w:t>
            </w:r>
          </w:p>
        </w:tc>
        <w:tc>
          <w:tcPr>
            <w:tcW w:type="dxa" w:w="11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100,000</w:t>
            </w:r>
          </w:p>
        </w:tc>
        <w:tc>
          <w:tcPr>
            <w:tcW w:type="dxa" w:w="11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88.0</w:t>
            </w:r>
          </w:p>
        </w:tc>
        <w:tc>
          <w:tcPr>
            <w:tcW w:type="dxa" w:w="11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90.7</w:t>
            </w:r>
          </w:p>
        </w:tc>
        <w:tc>
          <w:tcPr>
            <w:tcW w:type="dxa" w:w="3521"/>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88.3</w:t>
            </w:r>
          </w:p>
        </w:tc>
      </w:tr>
      <w:tr>
        <w:tc>
          <w:tcPr>
            <w:tcW w:type="dxa" w:w="14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left"/>
            </w:pPr>
            <w:r>
              <w:rPr>
                <w:rFonts w:ascii="Times New Roman" w:cs="Times New Roman" w:eastAsia="Times New Roman" w:hAnsi="Times New Roman"/>
                <w:sz w:val="18"/>
                <w:szCs w:val="18"/>
              </w:rPr>
              <w:t xml:space="preserve">Weather</w:t>
            </w:r>
          </w:p>
        </w:tc>
        <w:tc>
          <w:tcPr>
            <w:tcW w:type="dxa" w:w="11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3,220</w:t>
            </w:r>
          </w:p>
        </w:tc>
        <w:tc>
          <w:tcPr>
            <w:tcW w:type="dxa" w:w="11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60.6</w:t>
            </w:r>
          </w:p>
        </w:tc>
        <w:tc>
          <w:tcPr>
            <w:tcW w:type="dxa" w:w="1100"/>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89.7</w:t>
            </w:r>
          </w:p>
        </w:tc>
        <w:tc>
          <w:tcPr>
            <w:tcW w:type="dxa" w:w="3521"/>
            <w:tcBorders>
              <w:top w:val="single" w:color="999999" w:sz="1"/>
              <w:left w:val="single" w:color="999999" w:sz="1"/>
              <w:bottom w:val="single" w:color="999999" w:sz="1"/>
              <w:right w:val="single" w:color="999999" w:sz="1"/>
            </w:tcBorders>
            <w:tcMar>
              <w:top w:type="dxa" w:w="30"/>
              <w:left w:type="dxa" w:w="50"/>
              <w:bottom w:type="dxa" w:w="30"/>
              <w:right w:type="dxa" w:w="50"/>
            </w:tcMar>
          </w:tcPr>
          <w:p>
            <w:pPr>
              <w:jc w:val="center"/>
            </w:pPr>
            <w:r>
              <w:rPr>
                <w:rFonts w:ascii="Times New Roman" w:cs="Times New Roman" w:eastAsia="Times New Roman" w:hAnsi="Times New Roman"/>
                <w:sz w:val="18"/>
                <w:szCs w:val="18"/>
              </w:rPr>
              <w:t xml:space="preserve">61.0</w:t>
            </w:r>
          </w:p>
        </w:tc>
      </w:tr>
    </w:tbl>
    <w:p>
      <w:pPr>
        <w:spacing w:after="60" w:line="360"/>
        <w:jc w:val="both"/>
      </w:pPr>
      <w:r>
        <w:rPr>
          <w:rFonts w:ascii="Times New Roman" w:cs="Times New Roman" w:eastAsia="Times New Roman" w:hAnsi="Times New Roman"/>
          <w:sz w:val="24"/>
          <w:szCs w:val="24"/>
        </w:rPr>
        <w:t xml:space="preserve">A supplementary experiment tested whether domain metadata can improve selection by routing each F1 telemetry array to a channel-specific model. The non-strict routed accuracy of 86.0% appeared promising, but strict source-separated evaluation reduced it to 48.9%, demonstrating that the apparent gain was driven by information leakage from overlapping time series rather than by the metadata signal itself.</w:t>
      </w:r>
    </w:p>
    <w:p>
      <w:pPr>
        <w:spacing w:after="80" w:before="200" w:line="360"/>
        <w:jc w:val="left"/>
      </w:pPr>
      <w:r>
        <w:rPr>
          <w:rFonts w:ascii="Times New Roman" w:cs="Times New Roman" w:eastAsia="Times New Roman" w:hAnsi="Times New Roman"/>
          <w:b/>
          <w:bCs/>
          <w:sz w:val="24"/>
          <w:szCs w:val="24"/>
        </w:rPr>
        <w:t xml:space="preserve">4.4 Future Directions</w:t>
      </w:r>
    </w:p>
    <w:p>
      <w:pPr>
        <w:spacing w:after="60" w:line="360"/>
        <w:jc w:val="both"/>
      </w:pPr>
      <w:r>
        <w:rPr>
          <w:rFonts w:ascii="Times New Roman" w:cs="Times New Roman" w:eastAsia="Times New Roman" w:hAnsi="Times New Roman"/>
          <w:sz w:val="24"/>
          <w:szCs w:val="24"/>
        </w:rPr>
        <w:t xml:space="preserve">The binary ceiling identified by the v8 cascade defines two concrete research directions: incorporating lightweight microarchitectural proxies, such as estimated cache line crossings or memory stride regularity, to provide the discriminative signal that the current structural features lack for the introsort/heapsort boundary; and experimentally validating the LinUCB contextual bandit layer under controlled distribution shift to quantify its adaptation speed on non-stationary workloads. Cross-platform evaluation on ARM architectures would further establish whether the learned feature importances are hardware-invariant or require platform-specific retraining.</w:t>
      </w:r>
    </w:p>
    <w:sectPr>
      <w:footerReference w:type="default" r:id="rId7"/>
      <w:pgSz w:w="11907" w:h="16840" w:orient="portrait"/>
      <w:pgMar w:top="2268" w:right="1701" w:bottom="1418"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2026-05-24T00:37:50.481Z</dcterms:created>
  <dcterms:modified xsi:type="dcterms:W3CDTF">2026-05-24T00:37:50.481Z</dcterms:modified>
</cp:coreProperties>
</file>

<file path=docProps/custom.xml><?xml version="1.0" encoding="utf-8"?>
<Properties xmlns="http://schemas.openxmlformats.org/officeDocument/2006/custom-properties" xmlns:vt="http://schemas.openxmlformats.org/officeDocument/2006/docPropsVTypes"/>
</file>