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0"/>
          <w:szCs w:val="20"/>
        </w:rPr>
        <w:t xml:space="preserve">Compliance Check</w:t>
      </w:r>
    </w:p>
    <w:p>
      <w:pPr>
        <w:spacing w:after="160"/>
      </w:pPr>
      <w:r>
        <w:rPr>
          <w:b/>
          <w:bCs/>
          <w:sz w:val="44"/>
          <w:szCs w:val="44"/>
        </w:rPr>
        <w:t xml:space="preserve">CD Funds Finder → smartcredit.com</w:t>
      </w:r>
    </w:p>
    <w:p>
      <w:pPr>
        <w:pBdr>
          <w:bottom w:val="single" w:color="1F3A5F" w:sz="12" w:space="4"/>
        </w:pBd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2026-05-14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Requested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Ahmed Yassine (Consumer Direct)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Reference spec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docs/superpowers/specs/2026-04-27-cd-funds-finder-design.md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Authenticated SmartCredit members only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Existing internal precedent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Master / Privacy Scan (data-broker matching feature on smartcredit.com)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Storage model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Pre-computed nightly member ↔ possible-match table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Notifications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Email and/or SMS planned (Phase 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Matching keys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First name + last name + state + city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Results framing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"Possible match" — never "found money"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Claim path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Deep-link to claimit.ca.gov; no fee; no claim handling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Initial state coverage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California (SCO bulk files from claimit.ca.gov / sco.ca.gov)</w:t>
            </w:r>
          </w:p>
        </w:tc>
      </w:tr>
    </w:tbl>
    <w:p>
      <w:pPr>
        <w:pBdr>
          <w:left w:val="single" w:color="B8860B" w:sz="24" w:space="8"/>
        </w:pBdr>
        <w:shd w:fill="FFF4E5" w:color="auto" w:val="clear"/>
        <w:spacing w:after="240" w:before="240"/>
      </w:pPr>
      <w:r>
        <w:rPr>
          <w:b/>
          <w:bCs/>
        </w:rPr>
        <w:t xml:space="preserve">Important: </w:t>
      </w:r>
      <w:r>
        <w:t xml:space="preserve">This is structured pre-launch compliance triage, not legal advice. Items flagged here should be reviewed by qualified counsel before launch.</w:t>
      </w:r>
    </w:p>
    <w:p>
      <w:pPr>
        <w:pStyle w:val="Heading1"/>
        <w:spacing w:after="160" w:before="360"/>
      </w:pPr>
      <w:r>
        <w:rPr>
          <w:b/>
          <w:bCs/>
        </w:rPr>
        <w:t xml:space="preserve">Summary</w:t>
      </w:r>
    </w:p>
    <w:p>
      <w:pPr>
        <w:spacing w:after="160" w:before="0"/>
      </w:pPr>
      <w:r>
        <w:rPr>
          <w:b/>
          <w:bCs/>
        </w:rPr>
        <w:t xml:space="preserve">Assessment: </w:t>
      </w:r>
      <w:r>
        <w:rPr>
          <w:b/>
          <w:bCs/>
          <w:color w:val="B45309"/>
        </w:rPr>
        <w:t xml:space="preserve">Proceed with conditions.</w:t>
      </w:r>
    </w:p>
    <w:p>
      <w:pPr>
        <w:spacing w:after="80" w:before="0"/>
      </w:pPr>
      <w:r>
        <w:t xml:space="preserve">Four structural decisions in the design materially reduce the regulatory surface area: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"Possible match" framing keeps the feature away from the most acute UDAAP/FTC §5 risk that would attach to "we found money for you."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Privacy Master / Privacy Scan precedent gives the program an internal legal pattern to extend — same regulatory shape as the existing broker-removal feature: match member identity against external public/semi-public records, present as candidates, let the member act or dismiss.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Matching only on first + last + state + city means no new sensitive PII is processed (no DOB, no SSN, no addresses beyond what's already on the state's own public portal).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Deep-link only — no fee, no claim handling — keeps the feature structurally outside most state finder/locator statutes.</w:t>
      </w:r>
    </w:p>
    <w:p>
      <w:pPr>
        <w:spacing w:after="80" w:before="0"/>
      </w:pPr>
      <w:r>
        <w:t xml:space="preserve">Three items deserve special focus as launch gates: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TCPA / CAN-SPAM consent for the email/SMS notification channel. SMS "you have a possible match" alerts are promotional and require prior express written consent under FCC marketing rules. Wrong here = $500–$1,500 per text in TCPA private actions.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Match-quality presentation. First + last + state + city against millions of records will generate many candidate matches for common names ("John Smith in San Diego, CA" — possibly hundreds of distinct individuals). The "possible match" framing is necessary but not sufficient; presentation must show candidate count and acknowledge ambiguity.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pre-computed nightly match table is a new GLBA-covered store (member identity ↔ possible property record). Encryption at rest, access logging, DSR workflow coverage, and SOC 2 scope expansion all apply.</w:t>
      </w:r>
    </w:p>
    <w:p>
      <w:pPr>
        <w:pStyle w:val="Heading1"/>
        <w:spacing w:after="160" w:before="360"/>
      </w:pPr>
      <w:r>
        <w:rPr>
          <w:b/>
          <w:bCs/>
        </w:rPr>
        <w:t xml:space="preserve">SmartCredit Context (extracted from smartcredit.com)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Platform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"Powered by the ConsumerDirect® Platform" — Consumer Direct is the FCRA-covered parent entity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Public feature set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Credit reports/scores/monitoring (3-bureau), Identity Theft Insurance, Credit Dispute, Money Manager, Action Buttons (patented), Loan Marketplace (MyLoNa)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Existing privacy-side feature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Master / Privacy Scan — sits inside authenticated app; legal pattern Funds Finder will mirror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Education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"Who's Looking", Credit 101, Debt 101 — informational only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Existing disclosures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Service Agreement, Terms of Use, Privacy Policy, Security; CCPA-compliant cookie preferences; multilingual (EN/ES/FR/JA)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Existing disclaimer pattern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"Any credit scores, score changes or available plus points shown or inferred are estimates only. Individual results and speed of results may vary, and results are not guaranteed." — directly transferable shape for "Possible match" results</w:t>
            </w:r>
          </w:p>
        </w:tc>
      </w:tr>
    </w:tbl>
    <w:p>
      <w:pPr>
        <w:spacing w:after="80" w:before="0"/>
      </w:pPr>
      <w:r>
        <w:t xml:space="preserve">There is a clear product slot for Funds Finder — "another action SmartCredit members can take, surfaced inside the authenticated app, deep-linked to the action portal" — that mirrors both Privacy Master (broker removal) and the credit-dispute flow (deep-link to bureaus). Funds Finder fits this product grammar, which reduces novelty risk.</w:t>
      </w:r>
    </w:p>
    <w:p>
      <w:pPr>
        <w:pStyle w:val="Heading1"/>
        <w:spacing w:after="160" w:before="360"/>
      </w:pPr>
      <w:r>
        <w:rPr>
          <w:b/>
          <w:bCs/>
        </w:rPr>
        <w:t xml:space="preserve">Applicable Regulations and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Regulation / Policy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State Unclaimed Property Acts (UPA) — finder/locator provisions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 CCP §1582 caps finder fees at 10% after 12mo escheat; TX Prop. Code §74.507 at 10%; NY ABP §1416 at 15%; FL F.S. §717.135 at 20%. Some states regulate even fee-free locator activity.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Counsel opinion that a free, member-only, deep-linking, dismiss-able "possible match" service is outside each state's locator definition. CA first; TX, NY, FL before respective rollouts.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FCRA (15 U.S.C. §1681 et seq.)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Member data obtained under §1681b(a)(2) permissible purpose. Unclaimed-property search is not a "consumer report" use. The Privacy Master / Privacy Scan precedent likely already establishes the secondary-use posture.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 Privacy Master's authorization scope covers Funds Finder. If yes, no new consent flow needed.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GLBA Privacy Rule + Safeguards Rule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Consumer Direct is a "financial institution." The pre-computed nightly match table is NPI (member identity ↔ possible property record).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Update privacy notice. Apply Safeguards Rule controls (encryption, access controls, audit logging) to the match table.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CCPA / CPRA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Member CA PI is processed. No "sale"; no "share" for cross-context advertising. The new stored match table must be covered by DSR workflows.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notice category update. Wire the match table into existing access/deletion/correction request flows.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CFPA / Dodd-Frank §1031 (UDAAP)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"Possible match" framing addresses the principal risk. Residual: presenting many candidates for common names without confidence cues could still mislead.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Test results UX with a high-volume common name. Add visible confidence/ambiguity language and a "Not mine" dismiss affordance per candidate.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FTC Act §5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Backstop for UDAAP.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Same as CFPA.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TCPA + state mini-TCPA (FL FTSA, OK)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Email/SMS "you have a possible match" notifications are promotional. SMS requires prior express written consent under FCC rules.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Launch gate. Confirm members specifically opted in. Honor STOP/opt-out. Maintain consent audit trail.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CAN-SPAM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Email notifications must include sender ID, physical address, and an opt-out link honored ≤10 business days.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Inherit from existing SmartCredit email infrastructure. Add a specific "Funds Finder alerts" opt-out category.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State omnibus privacy laws (VCDPA, CPA, CTDPA, UCPA, TDPSA, OR, MT)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Triggered as state coverage expands.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Inherit from existing program. Add the new processing purpose to per-state notices where required.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State CRO/CSO laws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TX, IL, OK, GA regulate credit-services organizations.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 no amendment to existing registrations triggered.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California SCO bulk-data terms of use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Ingesting https://claimit.ca.gov/upd-property-records/.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 terms allow ingestion + presentation. CA unclaimed property is public record per Gov. Code §6253, but ToS may layer in restrictions.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Federal source data terms (future)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Treasury, PBGC, FDIC, HUD-FHA, DOL EBSA, NCUA. PBGC and FDIC historically the most restrictive.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 of scope for California launch; flag for 2027 federal-sources milestone.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State seal / agency-mark usage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Deep-link to claimit.ca.gov is fine; rendering the SCO seal is not.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UX audit; explicit non-affiliation disclaimer.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500"/>
        <w:gridCol w:w="36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 CA SCO bulk-file ToS permits ingestion, storage, and presentation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Unknown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Legal review of sco.ca.gov / claimit.ca.gov terms; written inquiry to SCO if ambiguous.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Counsel opinion that CCP §1582 (and surrounding) does not regulate a free, member-only, deep-linking, dismiss-able service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Unknown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Outside-counsel memo. Repeat for TX, NY, FL before each rollout.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Master / Privacy Scan authorization language covers Funds Finder processing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Likely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Privacy/Legal review of existing Privacy Master consent + service agreement. If language is feature-specific, extend it.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notice categorical update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Add to existing GLBA + CCPA notices. Likely a small delta given the Privacy Master parallel.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Results UX presents candidates clearly, with no implied certainty or government affiliation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Partially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Final copy review; require "possible" in every match presentation; show match-count caveats for common names.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"Not mine / dismiss" affordance on each candidate (Privacy Master parity)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Specified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Add. Reduces false-positive friction, gives member agency, extends precedent, creates labeled-data signal.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Pre-computed match table — encryption at rest, access controls, audit logging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InfoSec to extend existing Safeguards Rule controls.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Match table covered by DSR workflows (CCPA/CPRA, VCDPA, CPA, etc.)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Engineering + Privacy: ensure access/delete/correct requests reach the match table.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Email/SMS notification consent — granular "Funds Finder alerts" opt-in (TCPA + CAN-SPAM)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Granular preference category, default-off, per-channel, STOP/opt-out honored, audit trail.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Notification copy review (UDAAP, §5, TCPA classification)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Subject lines and SMS body must use "possible match" framing; must not imply funds are guaranteed or that action is urgent.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DPIA / PIA covering Funds Finder processing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Office. Likely short given Privacy Master analog.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 2 scope expansion: match table + matching service added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 2 program owner; next audit window.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Member T&amp;Cs delta: warranty disclaimer on match accuracy, "we don't file claims"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Legal to draft. Pattern from "credit scores are estimates" disclaimer is directly transferable.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UX audit: no state seals, no "official" framing, explicit non-affiliation notice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Design + Legal review.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Vendor / sub-processor scope (Snowflake DPA + any new dependency)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Met (likely)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 scope; add new tooling (dbt Cloud, scheduler) to sub-processor list if introduced.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Audit logging for the matching service (who queried whose data and when)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Met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GLBA Safeguards Rule monitoring.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Per-state kill-switch (disable Funds Finder per-state without deploy)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 Specified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Engineering.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Risk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State locator-statute applicability — a state interprets the feature as an unregistered "heir finder" service despite being free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Outside-counsel opinion per state before rollout; per-state kill-switch.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TCPA / SMS-marketing consent — member receives an unconsented "possible match" SMS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High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Specific opt-in for "Funds Finder alerts." Default-off, per-channel, STOP-handling, audit trail. TCPA private actions: $500–$1,500 per text.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False-positive UDAAP exposure — member acts on a candidate that isn't actually theirs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"Possible match" framing addresses the worst of it. Add explicit match-count language and a "Not mine" dismiss affordance.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Common-name candidate inflation in dense markets — dozens-to-hundreds of candidates for a single member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City-level disambiguation hints; offer an optional disambiguator (street, year of birth) at member's choice; never require new PII.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Data-source ToS violation (sco.ca.gov bulk files)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 terms in writing now. Request written clarification from SCO if ambiguous. Comply with attribution.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notice mismatch — new processing purpose not reflected in member-facing privacy policy at launch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Master precedent covers most of the language; small delta. Hard launch gate.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Match table as new GLBA-covered store — encryption, access logging, DSR coverage gap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Extend existing Safeguards Rule controls; wire DSR workflows; add to SOC 2 scope.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CAN-SPAM email notification compliance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Inherit existing email infrastructure. Add specific opt-out category.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Implied government affiliation — UI inadvertently suggests SmartCredit is a state partner or claim processor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UX audit; explicit non-affiliation disclaimer; no state seals; avoid "official" or "authorized."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FCRA secondary-use gap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Master establishes the pattern. Confirm authorization scope with counsel.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Member-claim fraud enablement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 surface only what's already public on the state portal; state portal handles ID verification.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Notification fatigue (UX, non-legal but related)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Cap frequency; consolidate; respect preferences.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Federal source restrictions (future)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Medium (future)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Re-run this compliance check before the 2027 federal-sources milestone.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Data staleness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Low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Weekly refresh; visible "Data last refreshed" indicator; state portal is authoritative.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Recommended Actions</w:t>
      </w:r>
    </w:p>
    <w:p>
      <w:pPr>
        <w:spacing w:after="80" w:before="0"/>
      </w:pPr>
      <w:r>
        <w:rPr>
          <w:i/>
          <w:iCs/>
        </w:rPr>
        <w:t xml:space="preserve">Listed in priority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the Privacy Master / Privacy Scan legal precedent. Have Privacy/Legal confirm in a one-page memo that existing authorization, privacy notice, and member T&amp;Cs extend to Funds Finder. Collapses requirements 3, 4, and 13 into a small delta.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Outside-counsel opinion on California finder/locator framework (CCP §1582) for a free, member-only, deep-linking, dismiss-able service. Repeat per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CA SCO bulk-file ToS in writing — both sco.ca.gov and claimit.ca.gov.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up notification consent properly. "Funds Finder alerts" preference, default-off, granular per-channel, STOP-handling, audit trail. Highest-risk new item from the notification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 the match-presentation copy. Every match displayed includes "possible" or "may match." Show candidate count for common names. Add "Not mine" dismiss affordance per candidate.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Safeguards Rule controls to the match table: encryption, access logging, audit trail. Add to SOC 2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DSR workflow update to cover the match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DPIA / PIA — likely short, given Privacy Master precedent.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UX audit for state-affiliation language and marks. Add non-affiliation disclaimer in results and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per-state kill-switch before launch.</w:t>
      </w:r>
    </w:p>
    <w:p>
      <w:pPr>
        <w:pStyle w:val="Heading1"/>
        <w:spacing w:after="160" w:before="360"/>
      </w:pPr>
      <w:r>
        <w:rPr>
          <w:b/>
          <w:bCs/>
        </w:rPr>
        <w:t xml:space="preserve">Approvals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In-house counsel — Privacy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Master precedent extension memo, privacy notice delta, DPIA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Outside counsel (unclaimed-property specialist)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 finder/locator statute opinion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In-house counsel — Consumer / Regulatory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UDAAP copy review, T&amp;Cs delta, TCPA/CAN-SPAM notification compliance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Privacy Office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DPIA/PIA sign-off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InfoSec / CISO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Match-table security review + SOC 2 scope expansion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Product Marketing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"Possible match" copy and notification subject lines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Member Services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Runbook for "is this really mine?" / "how do I dismiss" questions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Engineering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Per-state kill-switch, notification preference plumbing, DSR coverage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Pending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Slide 7 — Suggested Language for the Exec Deck</w:t>
      </w:r>
    </w:p>
    <w:p>
      <w:pPr>
        <w:spacing w:after="80" w:before="0"/>
      </w:pPr>
      <w:r>
        <w:t xml:space="preserve">The deck's "Compliance moat" slide can read credibly with this framing:</w:t>
      </w:r>
    </w:p>
    <w:p>
      <w:pPr>
        <w:pBdr>
          <w:left w:val="single" w:color="1F3A5F" w:sz="24" w:space="8"/>
        </w:pBdr>
        <w:shd w:fill="F1F5F9" w:color="auto" w:val="clear"/>
        <w:spacing w:after="120" w:before="120"/>
      </w:pPr>
      <w:r>
        <w:rPr>
          <w:b/>
          <w:bCs/>
          <w:sz w:val="24"/>
          <w:szCs w:val="24"/>
        </w:rPr>
        <w:t xml:space="preserve">Favorable compliance posture, pending counsel sign-off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 + deep-link to the state portal = no claim handling, no finder fee, structurally outside most state locator statutes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"Possible match" framing + member dismiss affordance — same legal pattern as our existing Privacy Master broker-matching feature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Reuses existing SmartCredit identity controls and notification consent infrastructure — no new PII surface, no new auth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 data is public record (CA Gov. Code §6253); we link claims back to the state's own portal</w:t>
      </w:r>
    </w:p>
    <w:p>
      <w:pPr>
        <w:spacing w:after="80" w:before="0"/>
      </w:pPr>
      <w:r>
        <w:t xml:space="preserve">Counsel review in flight for each state before rollout.</w:t>
      </w:r>
    </w:p>
    <w:p>
      <w:pPr>
        <w:spacing w:after="80" w:before="0"/>
      </w:pPr>
      <w:r>
        <w:rPr>
          <w:i/>
          <w:iCs/>
        </w:rPr>
        <w:t xml:space="preserve">This is defensible in front of an executive audience without overclaiming.</w:t>
      </w:r>
    </w:p>
    <w:p>
      <w:pPr>
        <w:pStyle w:val="Heading1"/>
        <w:spacing w:after="160" w:before="360"/>
      </w:pPr>
      <w:r>
        <w:rPr>
          <w:b/>
          <w:bCs/>
        </w:rPr>
        <w:t xml:space="preserve">Out-of-Scope Reminders — Re-run this compliance check before: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Adding TX, NY, FL, or any expansion state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Adding any federal source (Treasury, PBGC, FDIC, HUD, DOL, NCUA)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Surfacing any field beyond what's already on the state's public portal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Changing the matching keys (adding DOB, partial SSN, address)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Changing the framing from "possible match" to anything more assertive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Removing the deep-link model in favor of an in-app claim 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Check — CD Funds Finder</dc:title>
  <dc:creator>Claude</dc:creator>
  <dc:description>Pre-launch compliance review for CD Funds Finder on smartcredit.com</dc:description>
  <cp:lastModifiedBy>Un-named</cp:lastModifiedBy>
  <cp:revision>1</cp:revision>
  <dcterms:created xsi:type="dcterms:W3CDTF">2026-05-14T19:20:44.056Z</dcterms:created>
  <dcterms:modified xsi:type="dcterms:W3CDTF">2026-05-14T19:20:44.056Z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