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B2AA" w14:textId="77777777" w:rsidR="00E63614" w:rsidRDefault="00E63614"/>
    <w:p w14:paraId="1A70F788" w14:textId="77777777" w:rsidR="00E63614" w:rsidRDefault="00E63614"/>
    <w:p w14:paraId="7AD4D2BA" w14:textId="77777777" w:rsidR="00E63614" w:rsidRDefault="00E63614"/>
    <w:p w14:paraId="51A51DDC" w14:textId="77777777" w:rsidR="00E63614" w:rsidRDefault="00E63614"/>
    <w:p w14:paraId="4677572A" w14:textId="77777777" w:rsidR="00E63614" w:rsidRDefault="00000000">
      <w:pPr>
        <w:spacing w:before="80" w:after="80"/>
        <w:jc w:val="center"/>
      </w:pPr>
      <w:r>
        <w:rPr>
          <w:b/>
          <w:bCs/>
          <w:sz w:val="36"/>
          <w:szCs w:val="36"/>
        </w:rPr>
        <w:t>Volatility Spillovers Between COMEX and</w:t>
      </w:r>
    </w:p>
    <w:p w14:paraId="6B57C2B8" w14:textId="77777777" w:rsidR="00E63614" w:rsidRDefault="00000000">
      <w:pPr>
        <w:spacing w:before="80" w:after="80"/>
        <w:jc w:val="center"/>
      </w:pPr>
      <w:r>
        <w:rPr>
          <w:b/>
          <w:bCs/>
          <w:sz w:val="36"/>
          <w:szCs w:val="36"/>
        </w:rPr>
        <w:t>Pakistani Precious Metal Markets:</w:t>
      </w:r>
    </w:p>
    <w:p w14:paraId="20D5EC3B" w14:textId="77777777" w:rsidR="00E63614" w:rsidRDefault="00000000">
      <w:pPr>
        <w:spacing w:before="80" w:after="80"/>
        <w:jc w:val="center"/>
      </w:pPr>
      <w:r>
        <w:rPr>
          <w:b/>
          <w:bCs/>
          <w:sz w:val="36"/>
          <w:szCs w:val="36"/>
        </w:rPr>
        <w:t>Evidence from DCC-GARCH</w:t>
      </w:r>
    </w:p>
    <w:p w14:paraId="49D44FC0" w14:textId="77777777" w:rsidR="00E63614" w:rsidRDefault="00E63614"/>
    <w:p w14:paraId="71045B0E" w14:textId="77777777" w:rsidR="00E63614" w:rsidRDefault="00E63614"/>
    <w:p w14:paraId="4F260DEA" w14:textId="77777777" w:rsidR="00E63614" w:rsidRDefault="00E63614"/>
    <w:p w14:paraId="01F09E28" w14:textId="77777777" w:rsidR="00E63614" w:rsidRDefault="00000000">
      <w:pPr>
        <w:spacing w:before="60" w:after="60"/>
        <w:jc w:val="center"/>
      </w:pPr>
      <w:r>
        <w:rPr>
          <w:sz w:val="20"/>
          <w:szCs w:val="20"/>
        </w:rPr>
        <w:t>─────────────────────────────────────</w:t>
      </w:r>
    </w:p>
    <w:p w14:paraId="06F01756" w14:textId="77777777" w:rsidR="00E63614" w:rsidRDefault="00E63614"/>
    <w:p w14:paraId="43BBF791" w14:textId="77777777" w:rsidR="00E63614" w:rsidRDefault="00E63614"/>
    <w:p w14:paraId="1D153E6D" w14:textId="70CC57CC" w:rsidR="00E63614" w:rsidRDefault="00000000">
      <w:pPr>
        <w:spacing w:before="60" w:after="60"/>
        <w:jc w:val="center"/>
      </w:pPr>
      <w:r>
        <w:rPr>
          <w:sz w:val="26"/>
          <w:szCs w:val="26"/>
        </w:rPr>
        <w:t>Ahmer</w:t>
      </w:r>
      <w:r w:rsidR="0020735D">
        <w:rPr>
          <w:sz w:val="26"/>
          <w:szCs w:val="26"/>
        </w:rPr>
        <w:t xml:space="preserve"> Anwaar </w:t>
      </w:r>
    </w:p>
    <w:p w14:paraId="0A403F42" w14:textId="77777777" w:rsidR="00E63614" w:rsidRDefault="00000000">
      <w:pPr>
        <w:spacing w:before="60" w:after="60"/>
        <w:jc w:val="center"/>
      </w:pPr>
      <w:r>
        <w:rPr>
          <w:sz w:val="22"/>
          <w:szCs w:val="22"/>
        </w:rPr>
        <w:t>July 2026</w:t>
      </w:r>
    </w:p>
    <w:p w14:paraId="5DC78936" w14:textId="77777777" w:rsidR="00E63614" w:rsidRDefault="00E63614"/>
    <w:p w14:paraId="6F159FF0" w14:textId="77777777" w:rsidR="00733AB7" w:rsidRDefault="00733AB7"/>
    <w:p w14:paraId="0DCD1899" w14:textId="77777777" w:rsidR="00733AB7" w:rsidRDefault="00733AB7"/>
    <w:p w14:paraId="67A99D02" w14:textId="77777777" w:rsidR="00733AB7" w:rsidRDefault="00733AB7"/>
    <w:p w14:paraId="28653D01" w14:textId="77777777" w:rsidR="00733AB7" w:rsidRDefault="00733AB7"/>
    <w:p w14:paraId="54A70952" w14:textId="77777777" w:rsidR="00733AB7" w:rsidRDefault="00733AB7"/>
    <w:p w14:paraId="30C1DD73" w14:textId="77777777" w:rsidR="00733AB7" w:rsidRDefault="00733AB7"/>
    <w:p w14:paraId="385E9BC2" w14:textId="77777777" w:rsidR="00733AB7" w:rsidRDefault="00733AB7"/>
    <w:p w14:paraId="73881348" w14:textId="77777777" w:rsidR="00733AB7" w:rsidRDefault="00733AB7"/>
    <w:p w14:paraId="53BB669E" w14:textId="77777777" w:rsidR="00733AB7" w:rsidRDefault="00733AB7"/>
    <w:p w14:paraId="1526BEB9" w14:textId="77777777" w:rsidR="00733AB7" w:rsidRDefault="00733AB7"/>
    <w:p w14:paraId="73ABB16C" w14:textId="77777777" w:rsidR="00733AB7" w:rsidRDefault="00733AB7"/>
    <w:p w14:paraId="67C2F955" w14:textId="77777777" w:rsidR="00733AB7" w:rsidRDefault="00733AB7"/>
    <w:p w14:paraId="73E6DDE1" w14:textId="77777777" w:rsidR="00733AB7" w:rsidRDefault="00733AB7"/>
    <w:p w14:paraId="3D306133" w14:textId="77777777" w:rsidR="00733AB7" w:rsidRDefault="00733AB7"/>
    <w:p w14:paraId="4AE7CC56" w14:textId="77777777" w:rsidR="00E63614" w:rsidRDefault="00E63614"/>
    <w:p w14:paraId="3996D26A" w14:textId="77777777" w:rsidR="00E63614" w:rsidRDefault="00000000">
      <w:pPr>
        <w:spacing w:before="60" w:after="60"/>
        <w:jc w:val="center"/>
      </w:pPr>
      <w:r>
        <w:rPr>
          <w:sz w:val="20"/>
          <w:szCs w:val="20"/>
        </w:rPr>
        <w:lastRenderedPageBreak/>
        <w:t>─────────────────────────────────────</w:t>
      </w:r>
    </w:p>
    <w:p w14:paraId="6A12F7CF" w14:textId="77777777" w:rsidR="00E63614" w:rsidRDefault="00E63614"/>
    <w:p w14:paraId="74B9AF17" w14:textId="77777777" w:rsidR="00E63614" w:rsidRDefault="00E63614"/>
    <w:p w14:paraId="127EFEF8" w14:textId="77777777" w:rsidR="00E63614" w:rsidRDefault="00000000">
      <w:pPr>
        <w:spacing w:before="80" w:after="80"/>
        <w:jc w:val="center"/>
      </w:pPr>
      <w:r>
        <w:rPr>
          <w:b/>
          <w:bCs/>
        </w:rPr>
        <w:t>Abstract</w:t>
      </w:r>
    </w:p>
    <w:p w14:paraId="2D081C14" w14:textId="77777777" w:rsidR="00E63614" w:rsidRDefault="00000000">
      <w:pPr>
        <w:spacing w:before="80" w:after="80" w:line="340" w:lineRule="auto"/>
        <w:ind w:left="720" w:right="720"/>
        <w:jc w:val="both"/>
      </w:pPr>
      <w:r>
        <w:rPr>
          <w:i/>
          <w:iCs/>
          <w:sz w:val="22"/>
          <w:szCs w:val="22"/>
        </w:rPr>
        <w:t>This study examines volatility spillovers between US COMEX and Pakistani PMEX precious metal markets using a Dynamic Conditional Correlation GARCH (DCC-GARCH) framework over the period January 2015 to December 2024, comprising 2,210 daily return observations. Four series are modelled jointly: COMEX gold and silver futures prices (USD) and their Pakistani rupee equivalents constructed via the daily USD/PKR exchange rate. Results reveal high and time-varying dynamic conditional correlations across all market pairs, with mean DCC estimates of 0.75 for the gold pair and 0.88 for the silver pair — indicating strong US-to-Pakistan transmission in both metals. Granger causality tests on squared returns reveal bidirectional volatility causality in silver markets, with COMEX silver strongly predicting Pakistani silver volatility (p &lt; 0.001) and a statistically significant reverse channel (p &lt; 0.05). Gold transmission is contemporaneous rather than predictive, with no significant lead-lag relationship detected in either direction. These findings have direct implications for portfolio diversification and hedging strategies within Pakistani precious metal markets.</w:t>
      </w:r>
    </w:p>
    <w:p w14:paraId="2B29F6A5" w14:textId="77777777" w:rsidR="00E63614" w:rsidRDefault="00000000">
      <w:r>
        <w:br w:type="page"/>
      </w:r>
    </w:p>
    <w:p w14:paraId="03E7E772" w14:textId="77777777" w:rsidR="00E63614" w:rsidRDefault="00000000">
      <w:pPr>
        <w:pStyle w:val="Heading1"/>
      </w:pPr>
      <w:r>
        <w:lastRenderedPageBreak/>
        <w:t>1. Introduction</w:t>
      </w:r>
    </w:p>
    <w:p w14:paraId="72A6A92C" w14:textId="77777777" w:rsidR="00E63614" w:rsidRDefault="00000000">
      <w:pPr>
        <w:spacing w:before="80" w:after="80"/>
        <w:jc w:val="both"/>
      </w:pPr>
      <w:r>
        <w:t xml:space="preserve">Gold and silver have served as stores of value, inflation hedges, and portfolio diversification instruments across global financial markets for centuries. In the contemporary era of financial </w:t>
      </w:r>
      <w:proofErr w:type="spellStart"/>
      <w:r>
        <w:t>globalisation</w:t>
      </w:r>
      <w:proofErr w:type="spellEnd"/>
      <w:r>
        <w:t xml:space="preserve">, volatility in international commodity markets transmits rapidly across borders, with implications for investors, policymakers, and central banks in emerging economies. Pakistan, as a country with deep cultural affinity for physical gold and silver — evident in consistently high </w:t>
      </w:r>
      <w:proofErr w:type="spellStart"/>
      <w:r>
        <w:t>jewellery</w:t>
      </w:r>
      <w:proofErr w:type="spellEnd"/>
      <w:r>
        <w:t xml:space="preserve"> consumption and a formally </w:t>
      </w:r>
      <w:proofErr w:type="spellStart"/>
      <w:r>
        <w:t>organised</w:t>
      </w:r>
      <w:proofErr w:type="spellEnd"/>
      <w:r>
        <w:t xml:space="preserve"> futures exchange (PMEX) — presents a particularly relevant case for studying international precious metal price transmission.</w:t>
      </w:r>
    </w:p>
    <w:p w14:paraId="7EB4F5FD" w14:textId="77777777" w:rsidR="00E63614" w:rsidRDefault="00000000">
      <w:pPr>
        <w:spacing w:before="80" w:after="80"/>
        <w:jc w:val="both"/>
      </w:pPr>
      <w:r>
        <w:t xml:space="preserve">The Pakistan Mercantile Exchange (PMEX) offers </w:t>
      </w:r>
      <w:proofErr w:type="spellStart"/>
      <w:r>
        <w:t>standardised</w:t>
      </w:r>
      <w:proofErr w:type="spellEnd"/>
      <w:r>
        <w:t xml:space="preserve"> futures contracts in gold and silver denominated in Pakistani rupees, with pricing closely linked to international benchmarks established on the New York Mercantile Exchange's COMEX division. Traders, importers, and institutional participants in Pakistani markets routinely monitor COMEX prices as a reference, suggesting a strong informational linkage between the two markets. Yet the precise nature, magnitude, and direction of this linkage — particularly in the volatility dimension — has not been formally established in the academic literature.</w:t>
      </w:r>
    </w:p>
    <w:p w14:paraId="7F4DF899" w14:textId="77777777" w:rsidR="00E63614" w:rsidRDefault="00000000">
      <w:pPr>
        <w:spacing w:before="80" w:after="80"/>
        <w:jc w:val="both"/>
      </w:pPr>
      <w:r>
        <w:t>A review of the existing literature reveals that while several studies have examined volatility spillovers between international gold markets and Pakistani equity markets (KSE-100), and others have studied PMEX volatility in isolation, no published study has directly estimated bilateral volatility transmission between COMEX and PMEX for both gold and silver jointly. This constitutes a clear and confirmed research gap that the present study addresses.</w:t>
      </w:r>
    </w:p>
    <w:p w14:paraId="6D46F200" w14:textId="77777777" w:rsidR="00E63614" w:rsidRDefault="00000000">
      <w:pPr>
        <w:spacing w:before="80" w:after="80"/>
        <w:jc w:val="both"/>
      </w:pPr>
      <w:r>
        <w:t>The analysis employs the Dynamic Conditional Correlation GARCH (DCC-GARCH) model of Engle (2002), which allows both the conditional variances and the correlations between market pairs to vary over time. This framework captures the changing nature of market linkages across different economic regimes — including the COVID-19 commodity shock of 2020 and the 2022 global commodity price surge — both of which fall within our 2015–2024 sample window. Granger causality tests on squared returns complement the DCC analysis by formally testing the direction of volatility transmission.</w:t>
      </w:r>
    </w:p>
    <w:p w14:paraId="55BEE3E8" w14:textId="77777777" w:rsidR="00E63614" w:rsidRDefault="00000000">
      <w:pPr>
        <w:spacing w:before="80" w:after="80"/>
        <w:jc w:val="both"/>
      </w:pPr>
      <w:r>
        <w:t xml:space="preserve">The remainder of this report is structured as follows. Section 2 describes the data and construction methodology. Section 3 outlines the econometric framework. Section 4 </w:t>
      </w:r>
      <w:r>
        <w:lastRenderedPageBreak/>
        <w:t>presents and interprets the empirical results. Section 5 concludes with policy implications and directions for future research.</w:t>
      </w:r>
    </w:p>
    <w:p w14:paraId="173A2981" w14:textId="77777777" w:rsidR="00E63614" w:rsidRDefault="00000000">
      <w:pPr>
        <w:pStyle w:val="Heading1"/>
      </w:pPr>
      <w:r>
        <w:t>2. Data</w:t>
      </w:r>
    </w:p>
    <w:p w14:paraId="2D56F4C2" w14:textId="77777777" w:rsidR="00E63614" w:rsidRDefault="00000000">
      <w:pPr>
        <w:pStyle w:val="Heading2"/>
      </w:pPr>
      <w:r>
        <w:t>2.1 Sources and Sample Period</w:t>
      </w:r>
    </w:p>
    <w:p w14:paraId="7BF88779" w14:textId="77777777" w:rsidR="00E63614" w:rsidRDefault="00000000">
      <w:pPr>
        <w:spacing w:before="80" w:after="80"/>
        <w:jc w:val="both"/>
      </w:pPr>
      <w:r>
        <w:t>Daily price data for four series are obtained for the period January 2, 2015 to December 31, 2024, yielding 2,210 usable daily return observations after data cleaning. The sample period is chosen to satisfy three criteria: (</w:t>
      </w:r>
      <w:proofErr w:type="spellStart"/>
      <w:r>
        <w:t>i</w:t>
      </w:r>
      <w:proofErr w:type="spellEnd"/>
      <w:r>
        <w:t>) sufficient length for reliable GARCH estimation, (ii) coverage of major structural events including COVID-19 and the 2022 commodity shock, and (iii) availability of reliable daily USD/PKR exchange rate data reflecting market-determined pricing rather than the heavily managed peg of the pre-2015 era.</w:t>
      </w:r>
    </w:p>
    <w:p w14:paraId="0872145D" w14:textId="77777777" w:rsidR="00E63614" w:rsidRDefault="00000000">
      <w:pPr>
        <w:spacing w:before="80" w:after="80"/>
        <w:jc w:val="both"/>
      </w:pPr>
      <w:r>
        <w:t xml:space="preserve">All data are sourced from Yahoo Finance via the </w:t>
      </w:r>
      <w:proofErr w:type="spellStart"/>
      <w:r>
        <w:t>quantmod</w:t>
      </w:r>
      <w:proofErr w:type="spellEnd"/>
      <w:r>
        <w:t xml:space="preserve"> package in R. The four raw series are: COMEX gold futures (ticker: GC=F, USD per troy ounce), COMEX silver futures (ticker: SI=F, USD per troy ounce), and the daily USD/PKR spot exchange rate (ticker: PKR=X).</w:t>
      </w:r>
    </w:p>
    <w:p w14:paraId="1B83DA60" w14:textId="77777777" w:rsidR="00E63614" w:rsidRDefault="00000000">
      <w:pPr>
        <w:pStyle w:val="Heading2"/>
      </w:pPr>
      <w:r>
        <w:t>2.2 Construction of Pakistani Rupee Price Series</w:t>
      </w:r>
    </w:p>
    <w:p w14:paraId="2C5D5D42" w14:textId="77777777" w:rsidR="00E63614" w:rsidRDefault="00000000">
      <w:pPr>
        <w:spacing w:before="80" w:after="80"/>
        <w:jc w:val="both"/>
      </w:pPr>
      <w:r>
        <w:t>PMEX does not maintain a publicly accessible historical price database with daily granularity over extended periods. Accordingly, Pakistani gold and silver price series are constructed as:</w:t>
      </w:r>
    </w:p>
    <w:p w14:paraId="14CF724A" w14:textId="77777777" w:rsidR="00E63614" w:rsidRDefault="00000000">
      <w:pPr>
        <w:spacing w:before="120" w:after="120"/>
        <w:jc w:val="center"/>
      </w:pPr>
      <w:proofErr w:type="spellStart"/>
      <w:r>
        <w:rPr>
          <w:rFonts w:ascii="Courier New" w:eastAsia="Courier New" w:hAnsi="Courier New" w:cs="Courier New"/>
          <w:b/>
          <w:bCs/>
        </w:rPr>
        <w:t>P_PKR,t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P_USD,t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S_t</w:t>
      </w:r>
      <w:proofErr w:type="spellEnd"/>
    </w:p>
    <w:p w14:paraId="75603508" w14:textId="77777777" w:rsidR="00E63614" w:rsidRDefault="00000000">
      <w:pPr>
        <w:spacing w:before="80" w:after="80"/>
        <w:jc w:val="both"/>
      </w:pPr>
      <w:r>
        <w:t xml:space="preserve">where </w:t>
      </w:r>
      <w:proofErr w:type="spellStart"/>
      <w:r>
        <w:t>P_USD,t</w:t>
      </w:r>
      <w:proofErr w:type="spellEnd"/>
      <w:r>
        <w:t xml:space="preserve"> is the COMEX futures price in USD and </w:t>
      </w:r>
      <w:proofErr w:type="spellStart"/>
      <w:r>
        <w:t>S_t</w:t>
      </w:r>
      <w:proofErr w:type="spellEnd"/>
      <w:r>
        <w:t xml:space="preserve"> is the daily USD/PKR exchange rate. This construction is economically grounded: PMEX settlement prices are derived from international benchmark prices converted at the prevailing interbank exchange rate, adjusted for local premiums. By working with log returns rather than price levels, the exchange rate component enters only as an additive term in the return decomposition, allowing the model to capture both pure commodity price volatility and currency-induced volatility in the Pakistani series.</w:t>
      </w:r>
    </w:p>
    <w:p w14:paraId="06DF5DEF" w14:textId="77777777" w:rsidR="00E63614" w:rsidRDefault="00000000">
      <w:pPr>
        <w:spacing w:before="80" w:after="80"/>
        <w:jc w:val="both"/>
      </w:pPr>
      <w:r>
        <w:t>This methodology is consistent with the broader commodity finance literature on emerging market price construction and is explicitly noted as a study limitation in Section 5.</w:t>
      </w:r>
    </w:p>
    <w:p w14:paraId="08D26A91" w14:textId="77777777" w:rsidR="00733AB7" w:rsidRDefault="00733AB7">
      <w:pPr>
        <w:spacing w:before="80" w:after="80"/>
        <w:jc w:val="both"/>
      </w:pPr>
    </w:p>
    <w:p w14:paraId="42234E33" w14:textId="77777777" w:rsidR="00E63614" w:rsidRDefault="00000000">
      <w:pPr>
        <w:pStyle w:val="Heading2"/>
      </w:pPr>
      <w:r>
        <w:lastRenderedPageBreak/>
        <w:t>2.3 Data Cleaning</w:t>
      </w:r>
    </w:p>
    <w:p w14:paraId="5F7BD317" w14:textId="77777777" w:rsidR="00E63614" w:rsidRDefault="00000000">
      <w:pPr>
        <w:spacing w:before="80" w:after="80"/>
        <w:jc w:val="both"/>
      </w:pPr>
      <w:r>
        <w:t>Visual inspection and automated outlier detection identified two corrupted observations in the PKR=X series on May 4–5, 2015, where the recorded exchange rate dropped to 10 PKR/USD before reverting to the prevailing rate of approximately 101 PKR/USD. This data entry error generated implausible returns of -231% and +232% in the constructed Pakistani series. Both observations were removed from the price dataset prior to return computation. No other anomalies were detected.</w:t>
      </w:r>
    </w:p>
    <w:p w14:paraId="2C5E0E05" w14:textId="77777777" w:rsidR="00E63614" w:rsidRDefault="00000000">
      <w:pPr>
        <w:pStyle w:val="Heading2"/>
      </w:pPr>
      <w:r>
        <w:t>2.4 Return Series</w:t>
      </w:r>
    </w:p>
    <w:p w14:paraId="2F4CA88A" w14:textId="77777777" w:rsidR="00E63614" w:rsidRDefault="00000000">
      <w:pPr>
        <w:spacing w:before="80" w:after="80"/>
        <w:jc w:val="both"/>
      </w:pPr>
      <w:r>
        <w:t xml:space="preserve">Log returns are computed as </w:t>
      </w:r>
      <w:proofErr w:type="spellStart"/>
      <w:r>
        <w:t>r_t</w:t>
      </w:r>
      <w:proofErr w:type="spellEnd"/>
      <w:r>
        <w:t xml:space="preserve"> = 100 × ln(</w:t>
      </w:r>
      <w:proofErr w:type="spellStart"/>
      <w:r>
        <w:t>P_t</w:t>
      </w:r>
      <w:proofErr w:type="spellEnd"/>
      <w:r>
        <w:t xml:space="preserve"> / P_{t-1}) and expressed in percentage terms. Summary statistics for all four return series are presented in Table 1.</w:t>
      </w:r>
    </w:p>
    <w:p w14:paraId="2AEA7DFE" w14:textId="77777777" w:rsidR="00E63614" w:rsidRDefault="00E63614"/>
    <w:p w14:paraId="00F0342C" w14:textId="77777777" w:rsidR="00E63614" w:rsidRDefault="00000000">
      <w:pPr>
        <w:spacing w:before="200" w:after="60"/>
        <w:jc w:val="center"/>
      </w:pPr>
      <w:r>
        <w:rPr>
          <w:b/>
          <w:bCs/>
          <w:sz w:val="22"/>
          <w:szCs w:val="22"/>
        </w:rPr>
        <w:t>Table 1: Descriptive Statistics of Daily Log Returns (%)</w:t>
      </w:r>
    </w:p>
    <w:tbl>
      <w:tblPr>
        <w:tblW w:w="80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500"/>
      </w:tblGrid>
      <w:tr w:rsidR="00E63614" w14:paraId="7AABCD68" w14:textId="77777777">
        <w:tblPrEx>
          <w:tblCellMar>
            <w:top w:w="0" w:type="dxa"/>
            <w:bottom w:w="0" w:type="dxa"/>
          </w:tblCellMar>
        </w:tblPrEx>
        <w:trPr>
          <w:tblHeader/>
        </w:trPr>
        <w:tc>
          <w:tcPr>
            <w:tcW w:w="2000" w:type="dxa"/>
            <w:shd w:val="clear" w:color="auto" w:fill="D9D9D9"/>
          </w:tcPr>
          <w:p w14:paraId="1A0E269F" w14:textId="77777777" w:rsidR="00E63614" w:rsidRDefault="00000000">
            <w:pPr>
              <w:spacing w:before="40" w:after="40"/>
              <w:jc w:val="center"/>
            </w:pPr>
            <w:r>
              <w:rPr>
                <w:b/>
                <w:bCs/>
                <w:sz w:val="20"/>
                <w:szCs w:val="20"/>
              </w:rPr>
              <w:t>Statistic</w:t>
            </w:r>
          </w:p>
        </w:tc>
        <w:tc>
          <w:tcPr>
            <w:tcW w:w="1500" w:type="dxa"/>
            <w:shd w:val="clear" w:color="auto" w:fill="D9D9D9"/>
          </w:tcPr>
          <w:p w14:paraId="2BEC62CD" w14:textId="77777777" w:rsidR="00E63614" w:rsidRDefault="00000000">
            <w:pPr>
              <w:spacing w:before="40" w:after="40"/>
              <w:jc w:val="center"/>
            </w:pPr>
            <w:r>
              <w:rPr>
                <w:b/>
                <w:bCs/>
                <w:sz w:val="20"/>
                <w:szCs w:val="20"/>
              </w:rPr>
              <w:t>Gold (USD)</w:t>
            </w:r>
          </w:p>
        </w:tc>
        <w:tc>
          <w:tcPr>
            <w:tcW w:w="1500" w:type="dxa"/>
            <w:shd w:val="clear" w:color="auto" w:fill="D9D9D9"/>
          </w:tcPr>
          <w:p w14:paraId="26972AED" w14:textId="77777777" w:rsidR="00E63614" w:rsidRDefault="00000000">
            <w:pPr>
              <w:spacing w:before="40" w:after="40"/>
              <w:jc w:val="center"/>
            </w:pPr>
            <w:r>
              <w:rPr>
                <w:b/>
                <w:bCs/>
                <w:sz w:val="20"/>
                <w:szCs w:val="20"/>
              </w:rPr>
              <w:t>Silver (USD)</w:t>
            </w:r>
          </w:p>
        </w:tc>
        <w:tc>
          <w:tcPr>
            <w:tcW w:w="1500" w:type="dxa"/>
            <w:shd w:val="clear" w:color="auto" w:fill="D9D9D9"/>
          </w:tcPr>
          <w:p w14:paraId="10569D21" w14:textId="77777777" w:rsidR="00E63614" w:rsidRDefault="00000000">
            <w:pPr>
              <w:spacing w:before="40" w:after="40"/>
              <w:jc w:val="center"/>
            </w:pPr>
            <w:r>
              <w:rPr>
                <w:b/>
                <w:bCs/>
                <w:sz w:val="20"/>
                <w:szCs w:val="20"/>
              </w:rPr>
              <w:t>Gold (PKR)</w:t>
            </w:r>
          </w:p>
        </w:tc>
        <w:tc>
          <w:tcPr>
            <w:tcW w:w="1500" w:type="dxa"/>
            <w:shd w:val="clear" w:color="auto" w:fill="D9D9D9"/>
          </w:tcPr>
          <w:p w14:paraId="65D6C0B5" w14:textId="77777777" w:rsidR="00E63614" w:rsidRDefault="00000000">
            <w:pPr>
              <w:spacing w:before="40" w:after="40"/>
              <w:jc w:val="center"/>
            </w:pPr>
            <w:r>
              <w:rPr>
                <w:b/>
                <w:bCs/>
                <w:sz w:val="20"/>
                <w:szCs w:val="20"/>
              </w:rPr>
              <w:t>Silver (PKR)</w:t>
            </w:r>
          </w:p>
        </w:tc>
      </w:tr>
      <w:tr w:rsidR="00E63614" w14:paraId="401BEF5C" w14:textId="77777777">
        <w:tblPrEx>
          <w:tblCellMar>
            <w:top w:w="0" w:type="dxa"/>
            <w:bottom w:w="0" w:type="dxa"/>
          </w:tblCellMar>
        </w:tblPrEx>
        <w:tc>
          <w:tcPr>
            <w:tcW w:w="2000" w:type="dxa"/>
          </w:tcPr>
          <w:p w14:paraId="2BF41BA6" w14:textId="77777777" w:rsidR="00E63614" w:rsidRDefault="00000000">
            <w:pPr>
              <w:spacing w:before="40" w:after="40"/>
            </w:pPr>
            <w:r>
              <w:rPr>
                <w:sz w:val="20"/>
                <w:szCs w:val="20"/>
              </w:rPr>
              <w:t>Mean</w:t>
            </w:r>
          </w:p>
        </w:tc>
        <w:tc>
          <w:tcPr>
            <w:tcW w:w="1500" w:type="dxa"/>
          </w:tcPr>
          <w:p w14:paraId="4ED5755D" w14:textId="77777777" w:rsidR="00E63614" w:rsidRDefault="00000000">
            <w:pPr>
              <w:spacing w:before="40" w:after="40"/>
              <w:jc w:val="center"/>
            </w:pPr>
            <w:r>
              <w:rPr>
                <w:sz w:val="20"/>
                <w:szCs w:val="20"/>
              </w:rPr>
              <w:t>0.0356</w:t>
            </w:r>
          </w:p>
        </w:tc>
        <w:tc>
          <w:tcPr>
            <w:tcW w:w="1500" w:type="dxa"/>
          </w:tcPr>
          <w:p w14:paraId="6E044441" w14:textId="77777777" w:rsidR="00E63614" w:rsidRDefault="00000000">
            <w:pPr>
              <w:spacing w:before="40" w:after="40"/>
              <w:jc w:val="center"/>
            </w:pPr>
            <w:r>
              <w:rPr>
                <w:sz w:val="20"/>
                <w:szCs w:val="20"/>
              </w:rPr>
              <w:t>0.0278</w:t>
            </w:r>
          </w:p>
        </w:tc>
        <w:tc>
          <w:tcPr>
            <w:tcW w:w="1500" w:type="dxa"/>
          </w:tcPr>
          <w:p w14:paraId="34BB58CA" w14:textId="77777777" w:rsidR="00E63614" w:rsidRDefault="00000000">
            <w:pPr>
              <w:spacing w:before="40" w:after="40"/>
              <w:jc w:val="center"/>
            </w:pPr>
            <w:r>
              <w:rPr>
                <w:sz w:val="20"/>
                <w:szCs w:val="20"/>
              </w:rPr>
              <w:t>0.0819</w:t>
            </w:r>
          </w:p>
        </w:tc>
        <w:tc>
          <w:tcPr>
            <w:tcW w:w="1500" w:type="dxa"/>
          </w:tcPr>
          <w:p w14:paraId="124A1BDF" w14:textId="77777777" w:rsidR="00E63614" w:rsidRDefault="00000000">
            <w:pPr>
              <w:spacing w:before="40" w:after="40"/>
              <w:jc w:val="center"/>
            </w:pPr>
            <w:r>
              <w:rPr>
                <w:sz w:val="20"/>
                <w:szCs w:val="20"/>
              </w:rPr>
              <w:t>0.0741</w:t>
            </w:r>
          </w:p>
        </w:tc>
      </w:tr>
      <w:tr w:rsidR="00E63614" w14:paraId="227A8D64" w14:textId="77777777">
        <w:tblPrEx>
          <w:tblCellMar>
            <w:top w:w="0" w:type="dxa"/>
            <w:bottom w:w="0" w:type="dxa"/>
          </w:tblCellMar>
        </w:tblPrEx>
        <w:tc>
          <w:tcPr>
            <w:tcW w:w="2000" w:type="dxa"/>
            <w:shd w:val="clear" w:color="auto" w:fill="F5F5F5"/>
          </w:tcPr>
          <w:p w14:paraId="0ABA82DA" w14:textId="77777777" w:rsidR="00E63614" w:rsidRDefault="00000000">
            <w:pPr>
              <w:spacing w:before="40" w:after="40"/>
            </w:pPr>
            <w:r>
              <w:rPr>
                <w:sz w:val="20"/>
                <w:szCs w:val="20"/>
              </w:rPr>
              <w:t>Std. Dev.</w:t>
            </w:r>
          </w:p>
        </w:tc>
        <w:tc>
          <w:tcPr>
            <w:tcW w:w="1500" w:type="dxa"/>
            <w:shd w:val="clear" w:color="auto" w:fill="F5F5F5"/>
          </w:tcPr>
          <w:p w14:paraId="303AA449" w14:textId="77777777" w:rsidR="00E63614" w:rsidRDefault="00000000">
            <w:pPr>
              <w:spacing w:before="40" w:after="40"/>
              <w:jc w:val="center"/>
            </w:pPr>
            <w:r>
              <w:rPr>
                <w:sz w:val="20"/>
                <w:szCs w:val="20"/>
              </w:rPr>
              <w:t>0.9819</w:t>
            </w:r>
          </w:p>
        </w:tc>
        <w:tc>
          <w:tcPr>
            <w:tcW w:w="1500" w:type="dxa"/>
            <w:shd w:val="clear" w:color="auto" w:fill="F5F5F5"/>
          </w:tcPr>
          <w:p w14:paraId="54BD5C1C" w14:textId="77777777" w:rsidR="00E63614" w:rsidRDefault="00000000">
            <w:pPr>
              <w:spacing w:before="40" w:after="40"/>
              <w:jc w:val="center"/>
            </w:pPr>
            <w:r>
              <w:rPr>
                <w:sz w:val="20"/>
                <w:szCs w:val="20"/>
              </w:rPr>
              <w:t>1.9431</w:t>
            </w:r>
          </w:p>
        </w:tc>
        <w:tc>
          <w:tcPr>
            <w:tcW w:w="1500" w:type="dxa"/>
            <w:shd w:val="clear" w:color="auto" w:fill="F5F5F5"/>
          </w:tcPr>
          <w:p w14:paraId="7F8384F8" w14:textId="77777777" w:rsidR="00E63614" w:rsidRDefault="00000000">
            <w:pPr>
              <w:spacing w:before="40" w:after="40"/>
              <w:jc w:val="center"/>
            </w:pPr>
            <w:r>
              <w:rPr>
                <w:sz w:val="20"/>
                <w:szCs w:val="20"/>
              </w:rPr>
              <w:t>1.3134</w:t>
            </w:r>
          </w:p>
        </w:tc>
        <w:tc>
          <w:tcPr>
            <w:tcW w:w="1500" w:type="dxa"/>
            <w:shd w:val="clear" w:color="auto" w:fill="F5F5F5"/>
          </w:tcPr>
          <w:p w14:paraId="73912663" w14:textId="77777777" w:rsidR="00E63614" w:rsidRDefault="00000000">
            <w:pPr>
              <w:spacing w:before="40" w:after="40"/>
              <w:jc w:val="center"/>
            </w:pPr>
            <w:r>
              <w:rPr>
                <w:sz w:val="20"/>
                <w:szCs w:val="20"/>
              </w:rPr>
              <w:t>2.1181</w:t>
            </w:r>
          </w:p>
        </w:tc>
      </w:tr>
      <w:tr w:rsidR="00E63614" w14:paraId="5D491465" w14:textId="77777777">
        <w:tblPrEx>
          <w:tblCellMar>
            <w:top w:w="0" w:type="dxa"/>
            <w:bottom w:w="0" w:type="dxa"/>
          </w:tblCellMar>
        </w:tblPrEx>
        <w:tc>
          <w:tcPr>
            <w:tcW w:w="2000" w:type="dxa"/>
          </w:tcPr>
          <w:p w14:paraId="528EFEAF" w14:textId="77777777" w:rsidR="00E63614" w:rsidRDefault="00000000">
            <w:pPr>
              <w:spacing w:before="40" w:after="40"/>
            </w:pPr>
            <w:r>
              <w:rPr>
                <w:sz w:val="20"/>
                <w:szCs w:val="20"/>
              </w:rPr>
              <w:t>Minimum</w:t>
            </w:r>
          </w:p>
        </w:tc>
        <w:tc>
          <w:tcPr>
            <w:tcW w:w="1500" w:type="dxa"/>
          </w:tcPr>
          <w:p w14:paraId="52CD52BE" w14:textId="77777777" w:rsidR="00E63614" w:rsidRDefault="00000000">
            <w:pPr>
              <w:spacing w:before="40" w:after="40"/>
              <w:jc w:val="center"/>
            </w:pPr>
            <w:r>
              <w:rPr>
                <w:sz w:val="20"/>
                <w:szCs w:val="20"/>
              </w:rPr>
              <w:t>-5.1069</w:t>
            </w:r>
          </w:p>
        </w:tc>
        <w:tc>
          <w:tcPr>
            <w:tcW w:w="1500" w:type="dxa"/>
          </w:tcPr>
          <w:p w14:paraId="29EC34B1" w14:textId="77777777" w:rsidR="00E63614" w:rsidRDefault="00000000">
            <w:pPr>
              <w:spacing w:before="40" w:after="40"/>
              <w:jc w:val="center"/>
            </w:pPr>
            <w:r>
              <w:rPr>
                <w:sz w:val="20"/>
                <w:szCs w:val="20"/>
              </w:rPr>
              <w:t>-12.3854</w:t>
            </w:r>
          </w:p>
        </w:tc>
        <w:tc>
          <w:tcPr>
            <w:tcW w:w="1500" w:type="dxa"/>
          </w:tcPr>
          <w:p w14:paraId="65AE32D4" w14:textId="77777777" w:rsidR="00E63614" w:rsidRDefault="00000000">
            <w:pPr>
              <w:spacing w:before="40" w:after="40"/>
              <w:jc w:val="center"/>
            </w:pPr>
            <w:r>
              <w:rPr>
                <w:sz w:val="20"/>
                <w:szCs w:val="20"/>
              </w:rPr>
              <w:t>-6.2451</w:t>
            </w:r>
          </w:p>
        </w:tc>
        <w:tc>
          <w:tcPr>
            <w:tcW w:w="1500" w:type="dxa"/>
          </w:tcPr>
          <w:p w14:paraId="66E0E89F" w14:textId="77777777" w:rsidR="00E63614" w:rsidRDefault="00000000">
            <w:pPr>
              <w:spacing w:before="40" w:after="40"/>
              <w:jc w:val="center"/>
            </w:pPr>
            <w:r>
              <w:rPr>
                <w:sz w:val="20"/>
                <w:szCs w:val="20"/>
              </w:rPr>
              <w:t>-14.3092</w:t>
            </w:r>
          </w:p>
        </w:tc>
      </w:tr>
      <w:tr w:rsidR="00E63614" w14:paraId="7AD2A3C3" w14:textId="77777777">
        <w:tblPrEx>
          <w:tblCellMar>
            <w:top w:w="0" w:type="dxa"/>
            <w:bottom w:w="0" w:type="dxa"/>
          </w:tblCellMar>
        </w:tblPrEx>
        <w:tc>
          <w:tcPr>
            <w:tcW w:w="2000" w:type="dxa"/>
            <w:shd w:val="clear" w:color="auto" w:fill="F5F5F5"/>
          </w:tcPr>
          <w:p w14:paraId="57A05177" w14:textId="77777777" w:rsidR="00E63614" w:rsidRDefault="00000000">
            <w:pPr>
              <w:spacing w:before="40" w:after="40"/>
            </w:pPr>
            <w:r>
              <w:rPr>
                <w:sz w:val="20"/>
                <w:szCs w:val="20"/>
              </w:rPr>
              <w:t>Maximum</w:t>
            </w:r>
          </w:p>
        </w:tc>
        <w:tc>
          <w:tcPr>
            <w:tcW w:w="1500" w:type="dxa"/>
            <w:shd w:val="clear" w:color="auto" w:fill="F5F5F5"/>
          </w:tcPr>
          <w:p w14:paraId="3C6215DA" w14:textId="77777777" w:rsidR="00E63614" w:rsidRDefault="00000000">
            <w:pPr>
              <w:spacing w:before="40" w:after="40"/>
              <w:jc w:val="center"/>
            </w:pPr>
            <w:r>
              <w:rPr>
                <w:sz w:val="20"/>
                <w:szCs w:val="20"/>
              </w:rPr>
              <w:t>5.7775</w:t>
            </w:r>
          </w:p>
        </w:tc>
        <w:tc>
          <w:tcPr>
            <w:tcW w:w="1500" w:type="dxa"/>
            <w:shd w:val="clear" w:color="auto" w:fill="F5F5F5"/>
          </w:tcPr>
          <w:p w14:paraId="19ED1AF3" w14:textId="77777777" w:rsidR="00E63614" w:rsidRDefault="00000000">
            <w:pPr>
              <w:spacing w:before="40" w:after="40"/>
              <w:jc w:val="center"/>
            </w:pPr>
            <w:r>
              <w:rPr>
                <w:sz w:val="20"/>
                <w:szCs w:val="20"/>
              </w:rPr>
              <w:t>9.7598</w:t>
            </w:r>
          </w:p>
        </w:tc>
        <w:tc>
          <w:tcPr>
            <w:tcW w:w="1500" w:type="dxa"/>
            <w:shd w:val="clear" w:color="auto" w:fill="F5F5F5"/>
          </w:tcPr>
          <w:p w14:paraId="382F8C15" w14:textId="77777777" w:rsidR="00E63614" w:rsidRDefault="00000000">
            <w:pPr>
              <w:spacing w:before="40" w:after="40"/>
              <w:jc w:val="center"/>
            </w:pPr>
            <w:r>
              <w:rPr>
                <w:sz w:val="20"/>
                <w:szCs w:val="20"/>
              </w:rPr>
              <w:t>8.3557</w:t>
            </w:r>
          </w:p>
        </w:tc>
        <w:tc>
          <w:tcPr>
            <w:tcW w:w="1500" w:type="dxa"/>
            <w:shd w:val="clear" w:color="auto" w:fill="F5F5F5"/>
          </w:tcPr>
          <w:p w14:paraId="131DD720" w14:textId="77777777" w:rsidR="00E63614" w:rsidRDefault="00000000">
            <w:pPr>
              <w:spacing w:before="40" w:after="40"/>
              <w:jc w:val="center"/>
            </w:pPr>
            <w:r>
              <w:rPr>
                <w:sz w:val="20"/>
                <w:szCs w:val="20"/>
              </w:rPr>
              <w:t>10.4905</w:t>
            </w:r>
          </w:p>
        </w:tc>
      </w:tr>
      <w:tr w:rsidR="00E63614" w14:paraId="1E7D3049" w14:textId="77777777">
        <w:tblPrEx>
          <w:tblCellMar>
            <w:top w:w="0" w:type="dxa"/>
            <w:bottom w:w="0" w:type="dxa"/>
          </w:tblCellMar>
        </w:tblPrEx>
        <w:tc>
          <w:tcPr>
            <w:tcW w:w="2000" w:type="dxa"/>
          </w:tcPr>
          <w:p w14:paraId="7DE1786E" w14:textId="77777777" w:rsidR="00E63614" w:rsidRDefault="00000000">
            <w:pPr>
              <w:spacing w:before="40" w:after="40"/>
            </w:pPr>
            <w:r>
              <w:rPr>
                <w:sz w:val="20"/>
                <w:szCs w:val="20"/>
              </w:rPr>
              <w:t>Skewness</w:t>
            </w:r>
          </w:p>
        </w:tc>
        <w:tc>
          <w:tcPr>
            <w:tcW w:w="1500" w:type="dxa"/>
          </w:tcPr>
          <w:p w14:paraId="4DD61942" w14:textId="77777777" w:rsidR="00E63614" w:rsidRDefault="00000000">
            <w:pPr>
              <w:spacing w:before="40" w:after="40"/>
              <w:jc w:val="center"/>
            </w:pPr>
            <w:r>
              <w:rPr>
                <w:sz w:val="20"/>
                <w:szCs w:val="20"/>
              </w:rPr>
              <w:t>-0.1253</w:t>
            </w:r>
          </w:p>
        </w:tc>
        <w:tc>
          <w:tcPr>
            <w:tcW w:w="1500" w:type="dxa"/>
          </w:tcPr>
          <w:p w14:paraId="2993D836" w14:textId="77777777" w:rsidR="00E63614" w:rsidRDefault="00000000">
            <w:pPr>
              <w:spacing w:before="40" w:after="40"/>
              <w:jc w:val="center"/>
            </w:pPr>
            <w:r>
              <w:rPr>
                <w:sz w:val="20"/>
                <w:szCs w:val="20"/>
              </w:rPr>
              <w:t>-0.3496</w:t>
            </w:r>
          </w:p>
        </w:tc>
        <w:tc>
          <w:tcPr>
            <w:tcW w:w="1500" w:type="dxa"/>
          </w:tcPr>
          <w:p w14:paraId="27DA644A" w14:textId="77777777" w:rsidR="00E63614" w:rsidRDefault="00000000">
            <w:pPr>
              <w:spacing w:before="40" w:after="40"/>
              <w:jc w:val="center"/>
            </w:pPr>
            <w:r>
              <w:rPr>
                <w:sz w:val="20"/>
                <w:szCs w:val="20"/>
              </w:rPr>
              <w:t>0.2955</w:t>
            </w:r>
          </w:p>
        </w:tc>
        <w:tc>
          <w:tcPr>
            <w:tcW w:w="1500" w:type="dxa"/>
          </w:tcPr>
          <w:p w14:paraId="0046281A" w14:textId="77777777" w:rsidR="00E63614" w:rsidRDefault="00000000">
            <w:pPr>
              <w:spacing w:before="40" w:after="40"/>
              <w:jc w:val="center"/>
            </w:pPr>
            <w:r>
              <w:rPr>
                <w:sz w:val="20"/>
                <w:szCs w:val="20"/>
              </w:rPr>
              <w:t>-0.2756</w:t>
            </w:r>
          </w:p>
        </w:tc>
      </w:tr>
      <w:tr w:rsidR="00E63614" w14:paraId="03A665CF" w14:textId="77777777">
        <w:tblPrEx>
          <w:tblCellMar>
            <w:top w:w="0" w:type="dxa"/>
            <w:bottom w:w="0" w:type="dxa"/>
          </w:tblCellMar>
        </w:tblPrEx>
        <w:tc>
          <w:tcPr>
            <w:tcW w:w="2000" w:type="dxa"/>
            <w:shd w:val="clear" w:color="auto" w:fill="F5F5F5"/>
          </w:tcPr>
          <w:p w14:paraId="43B214E5" w14:textId="77777777" w:rsidR="00E63614" w:rsidRDefault="00000000">
            <w:pPr>
              <w:spacing w:before="40" w:after="40"/>
            </w:pPr>
            <w:r>
              <w:rPr>
                <w:sz w:val="20"/>
                <w:szCs w:val="20"/>
              </w:rPr>
              <w:t>Kurtosis</w:t>
            </w:r>
          </w:p>
        </w:tc>
        <w:tc>
          <w:tcPr>
            <w:tcW w:w="1500" w:type="dxa"/>
            <w:shd w:val="clear" w:color="auto" w:fill="F5F5F5"/>
          </w:tcPr>
          <w:p w14:paraId="21D87C25" w14:textId="77777777" w:rsidR="00E63614" w:rsidRDefault="00000000">
            <w:pPr>
              <w:spacing w:before="40" w:after="40"/>
              <w:jc w:val="center"/>
            </w:pPr>
            <w:r>
              <w:rPr>
                <w:sz w:val="20"/>
                <w:szCs w:val="20"/>
              </w:rPr>
              <w:t>6.4305</w:t>
            </w:r>
          </w:p>
        </w:tc>
        <w:tc>
          <w:tcPr>
            <w:tcW w:w="1500" w:type="dxa"/>
            <w:shd w:val="clear" w:color="auto" w:fill="F5F5F5"/>
          </w:tcPr>
          <w:p w14:paraId="091F60F3" w14:textId="77777777" w:rsidR="00E63614" w:rsidRDefault="00000000">
            <w:pPr>
              <w:spacing w:before="40" w:after="40"/>
              <w:jc w:val="center"/>
            </w:pPr>
            <w:r>
              <w:rPr>
                <w:sz w:val="20"/>
                <w:szCs w:val="20"/>
              </w:rPr>
              <w:t>8.0913</w:t>
            </w:r>
          </w:p>
        </w:tc>
        <w:tc>
          <w:tcPr>
            <w:tcW w:w="1500" w:type="dxa"/>
            <w:shd w:val="clear" w:color="auto" w:fill="F5F5F5"/>
          </w:tcPr>
          <w:p w14:paraId="13D70506" w14:textId="77777777" w:rsidR="00E63614" w:rsidRDefault="00000000">
            <w:pPr>
              <w:spacing w:before="40" w:after="40"/>
              <w:jc w:val="center"/>
            </w:pPr>
            <w:r>
              <w:rPr>
                <w:sz w:val="20"/>
                <w:szCs w:val="20"/>
              </w:rPr>
              <w:t>6.7879</w:t>
            </w:r>
          </w:p>
        </w:tc>
        <w:tc>
          <w:tcPr>
            <w:tcW w:w="1500" w:type="dxa"/>
            <w:shd w:val="clear" w:color="auto" w:fill="F5F5F5"/>
          </w:tcPr>
          <w:p w14:paraId="3AE87A3E" w14:textId="77777777" w:rsidR="00E63614" w:rsidRDefault="00000000">
            <w:pPr>
              <w:spacing w:before="40" w:after="40"/>
              <w:jc w:val="center"/>
            </w:pPr>
            <w:r>
              <w:rPr>
                <w:sz w:val="20"/>
                <w:szCs w:val="20"/>
              </w:rPr>
              <w:t>7.1993</w:t>
            </w:r>
          </w:p>
        </w:tc>
      </w:tr>
      <w:tr w:rsidR="00E63614" w14:paraId="20A74532" w14:textId="77777777">
        <w:tblPrEx>
          <w:tblCellMar>
            <w:top w:w="0" w:type="dxa"/>
            <w:bottom w:w="0" w:type="dxa"/>
          </w:tblCellMar>
        </w:tblPrEx>
        <w:tc>
          <w:tcPr>
            <w:tcW w:w="2000" w:type="dxa"/>
          </w:tcPr>
          <w:p w14:paraId="219C5C0A" w14:textId="77777777" w:rsidR="00E63614" w:rsidRDefault="00000000">
            <w:pPr>
              <w:spacing w:before="40" w:after="40"/>
            </w:pPr>
            <w:r>
              <w:rPr>
                <w:sz w:val="20"/>
                <w:szCs w:val="20"/>
              </w:rPr>
              <w:t>Obs.</w:t>
            </w:r>
          </w:p>
        </w:tc>
        <w:tc>
          <w:tcPr>
            <w:tcW w:w="1500" w:type="dxa"/>
          </w:tcPr>
          <w:p w14:paraId="0683BB10" w14:textId="77777777" w:rsidR="00E63614" w:rsidRDefault="00000000">
            <w:pPr>
              <w:spacing w:before="40" w:after="40"/>
              <w:jc w:val="center"/>
            </w:pPr>
            <w:r>
              <w:rPr>
                <w:sz w:val="20"/>
                <w:szCs w:val="20"/>
              </w:rPr>
              <w:t>2,210</w:t>
            </w:r>
          </w:p>
        </w:tc>
        <w:tc>
          <w:tcPr>
            <w:tcW w:w="1500" w:type="dxa"/>
          </w:tcPr>
          <w:p w14:paraId="06ABF69C" w14:textId="77777777" w:rsidR="00E63614" w:rsidRDefault="00000000">
            <w:pPr>
              <w:spacing w:before="40" w:after="40"/>
              <w:jc w:val="center"/>
            </w:pPr>
            <w:r>
              <w:rPr>
                <w:sz w:val="20"/>
                <w:szCs w:val="20"/>
              </w:rPr>
              <w:t>2,210</w:t>
            </w:r>
          </w:p>
        </w:tc>
        <w:tc>
          <w:tcPr>
            <w:tcW w:w="1500" w:type="dxa"/>
          </w:tcPr>
          <w:p w14:paraId="0E206F14" w14:textId="77777777" w:rsidR="00E63614" w:rsidRDefault="00000000">
            <w:pPr>
              <w:spacing w:before="40" w:after="40"/>
              <w:jc w:val="center"/>
            </w:pPr>
            <w:r>
              <w:rPr>
                <w:sz w:val="20"/>
                <w:szCs w:val="20"/>
              </w:rPr>
              <w:t>2,210</w:t>
            </w:r>
          </w:p>
        </w:tc>
        <w:tc>
          <w:tcPr>
            <w:tcW w:w="1500" w:type="dxa"/>
          </w:tcPr>
          <w:p w14:paraId="0D5212C8" w14:textId="77777777" w:rsidR="00E63614" w:rsidRDefault="00000000">
            <w:pPr>
              <w:spacing w:before="40" w:after="40"/>
              <w:jc w:val="center"/>
            </w:pPr>
            <w:r>
              <w:rPr>
                <w:sz w:val="20"/>
                <w:szCs w:val="20"/>
              </w:rPr>
              <w:t>2,210</w:t>
            </w:r>
          </w:p>
        </w:tc>
      </w:tr>
    </w:tbl>
    <w:p w14:paraId="4C164E07" w14:textId="77777777" w:rsidR="00E63614" w:rsidRDefault="00000000">
      <w:pPr>
        <w:spacing w:before="60" w:after="120"/>
      </w:pPr>
      <w:r>
        <w:rPr>
          <w:b/>
          <w:bCs/>
          <w:i/>
          <w:iCs/>
          <w:sz w:val="18"/>
          <w:szCs w:val="18"/>
        </w:rPr>
        <w:t xml:space="preserve">Note: </w:t>
      </w:r>
      <w:r>
        <w:rPr>
          <w:i/>
          <w:iCs/>
          <w:sz w:val="18"/>
          <w:szCs w:val="18"/>
        </w:rPr>
        <w:t>Sample period: January 5, 2015 – December 30, 2024. Returns computed as 100 × ln(</w:t>
      </w:r>
      <w:proofErr w:type="spellStart"/>
      <w:r>
        <w:rPr>
          <w:i/>
          <w:iCs/>
          <w:sz w:val="18"/>
          <w:szCs w:val="18"/>
        </w:rPr>
        <w:t>P_t</w:t>
      </w:r>
      <w:proofErr w:type="spellEnd"/>
      <w:r>
        <w:rPr>
          <w:i/>
          <w:iCs/>
          <w:sz w:val="18"/>
          <w:szCs w:val="18"/>
        </w:rPr>
        <w:t>/P_{t-1}). Kurtosis reported as excess kurtosis. PKR series constructed as USD price × USD/PKR exchange rate.</w:t>
      </w:r>
    </w:p>
    <w:p w14:paraId="0EBC4B99" w14:textId="77777777" w:rsidR="00E63614" w:rsidRDefault="00E63614"/>
    <w:p w14:paraId="68ACD305" w14:textId="77777777" w:rsidR="00E63614" w:rsidRDefault="00000000">
      <w:pPr>
        <w:spacing w:before="80" w:after="80"/>
        <w:jc w:val="both"/>
      </w:pPr>
      <w:r>
        <w:t>Several features of the return distributions are noteworthy. First, all four series exhibit excess kurtosis substantially above zero, indicating fat-tailed distributions inconsistent with normality — a property that justifies the use of Student-t errors in the GARCH framework. Second, Pakistani series display higher standard deviations than their USD counterparts, reflecting the additional volatility introduced by PKR depreciation over the sample period. Third, silver is approximately twice as volatile as gold in both markets, consistent with silver's dual role as both a monetary and industrial metal.</w:t>
      </w:r>
    </w:p>
    <w:p w14:paraId="492847A0" w14:textId="77777777" w:rsidR="00E63614" w:rsidRDefault="00000000">
      <w:pPr>
        <w:pStyle w:val="Heading1"/>
      </w:pPr>
      <w:r>
        <w:lastRenderedPageBreak/>
        <w:t>3. Methodology</w:t>
      </w:r>
    </w:p>
    <w:p w14:paraId="295092AD" w14:textId="77777777" w:rsidR="00E63614" w:rsidRDefault="00000000">
      <w:pPr>
        <w:pStyle w:val="Heading2"/>
      </w:pPr>
      <w:r>
        <w:t>3.1 GARCH Framework and Motivation</w:t>
      </w:r>
    </w:p>
    <w:p w14:paraId="1317D09D" w14:textId="77777777" w:rsidR="00E63614" w:rsidRDefault="00000000">
      <w:pPr>
        <w:spacing w:before="80" w:after="80"/>
        <w:jc w:val="both"/>
      </w:pPr>
      <w:r>
        <w:t xml:space="preserve">Financial return series routinely exhibit volatility clustering — periods of high volatility tend to be followed by further high volatility, and calm periods cluster similarly. This </w:t>
      </w:r>
      <w:proofErr w:type="spellStart"/>
      <w:r>
        <w:t>stylised</w:t>
      </w:r>
      <w:proofErr w:type="spellEnd"/>
      <w:r>
        <w:t xml:space="preserve"> fact, first documented by Mandelbrot (1963) and </w:t>
      </w:r>
      <w:proofErr w:type="spellStart"/>
      <w:r>
        <w:t>formalised</w:t>
      </w:r>
      <w:proofErr w:type="spellEnd"/>
      <w:r>
        <w:t xml:space="preserve"> in the ARCH model of Engle (1982) and the GARCH extension of Bollerslev (1986), renders OLS-based analysis inappropriate for studying volatility dynamics. The presence of ARCH effects in all four return series is confirmed by Engle's LM test (reported in Section 4.1), formally motivating the GARCH approach.</w:t>
      </w:r>
    </w:p>
    <w:p w14:paraId="13AAE1BE" w14:textId="77777777" w:rsidR="00E63614" w:rsidRDefault="00000000">
      <w:pPr>
        <w:spacing w:before="80" w:after="80"/>
        <w:jc w:val="both"/>
      </w:pPr>
      <w:r>
        <w:t>For the univariate component, a standard GARCH(1,1) specification is adopted:</w:t>
      </w:r>
    </w:p>
    <w:p w14:paraId="1DA2ED2C" w14:textId="77777777" w:rsidR="00E63614" w:rsidRDefault="00000000">
      <w:pPr>
        <w:spacing w:before="100" w:after="60"/>
        <w:jc w:val="center"/>
      </w:pPr>
      <w:proofErr w:type="spellStart"/>
      <w:r>
        <w:rPr>
          <w:rFonts w:ascii="Courier New" w:eastAsia="Courier New" w:hAnsi="Courier New" w:cs="Courier New"/>
        </w:rPr>
        <w:t>r_t</w:t>
      </w:r>
      <w:proofErr w:type="spellEnd"/>
      <w:r>
        <w:rPr>
          <w:rFonts w:ascii="Courier New" w:eastAsia="Courier New" w:hAnsi="Courier New" w:cs="Courier New"/>
        </w:rPr>
        <w:t xml:space="preserve">  =  μ  +  </w:t>
      </w:r>
      <w:proofErr w:type="spellStart"/>
      <w:r>
        <w:rPr>
          <w:rFonts w:ascii="Courier New" w:eastAsia="Courier New" w:hAnsi="Courier New" w:cs="Courier New"/>
        </w:rPr>
        <w:t>ε_t</w:t>
      </w:r>
      <w:proofErr w:type="spellEnd"/>
      <w:r>
        <w:rPr>
          <w:rFonts w:ascii="Courier New" w:eastAsia="Courier New" w:hAnsi="Courier New" w:cs="Courier New"/>
        </w:rPr>
        <w:t xml:space="preserve">,          </w:t>
      </w:r>
      <w:proofErr w:type="spellStart"/>
      <w:r>
        <w:rPr>
          <w:rFonts w:ascii="Courier New" w:eastAsia="Courier New" w:hAnsi="Courier New" w:cs="Courier New"/>
        </w:rPr>
        <w:t>ε_t</w:t>
      </w:r>
      <w:proofErr w:type="spellEnd"/>
      <w:r>
        <w:rPr>
          <w:rFonts w:ascii="Courier New" w:eastAsia="Courier New" w:hAnsi="Courier New" w:cs="Courier New"/>
        </w:rPr>
        <w:t xml:space="preserve"> = </w:t>
      </w:r>
      <w:proofErr w:type="spellStart"/>
      <w:r>
        <w:rPr>
          <w:rFonts w:ascii="Courier New" w:eastAsia="Courier New" w:hAnsi="Courier New" w:cs="Courier New"/>
        </w:rPr>
        <w:t>σ_t</w:t>
      </w:r>
      <w:proofErr w:type="spellEnd"/>
      <w:r>
        <w:rPr>
          <w:rFonts w:ascii="Courier New" w:eastAsia="Courier New" w:hAnsi="Courier New" w:cs="Courier New"/>
        </w:rPr>
        <w:t xml:space="preserve"> </w:t>
      </w:r>
      <w:proofErr w:type="spellStart"/>
      <w:r>
        <w:rPr>
          <w:rFonts w:ascii="Courier New" w:eastAsia="Courier New" w:hAnsi="Courier New" w:cs="Courier New"/>
        </w:rPr>
        <w:t>z_t</w:t>
      </w:r>
      <w:proofErr w:type="spellEnd"/>
      <w:r>
        <w:rPr>
          <w:rFonts w:ascii="Courier New" w:eastAsia="Courier New" w:hAnsi="Courier New" w:cs="Courier New"/>
        </w:rPr>
        <w:t xml:space="preserve">,          </w:t>
      </w:r>
      <w:proofErr w:type="spellStart"/>
      <w:r>
        <w:rPr>
          <w:rFonts w:ascii="Courier New" w:eastAsia="Courier New" w:hAnsi="Courier New" w:cs="Courier New"/>
        </w:rPr>
        <w:t>z_t</w:t>
      </w:r>
      <w:proofErr w:type="spellEnd"/>
      <w:r>
        <w:rPr>
          <w:rFonts w:ascii="Courier New" w:eastAsia="Courier New" w:hAnsi="Courier New" w:cs="Courier New"/>
        </w:rPr>
        <w:t xml:space="preserve"> ~ </w:t>
      </w:r>
      <w:proofErr w:type="spellStart"/>
      <w:r>
        <w:rPr>
          <w:rFonts w:ascii="Courier New" w:eastAsia="Courier New" w:hAnsi="Courier New" w:cs="Courier New"/>
        </w:rPr>
        <w:t>t_ν</w:t>
      </w:r>
      <w:proofErr w:type="spellEnd"/>
    </w:p>
    <w:p w14:paraId="0E717ED7" w14:textId="77777777" w:rsidR="00E63614" w:rsidRDefault="00000000">
      <w:pPr>
        <w:spacing w:before="60" w:after="100"/>
        <w:jc w:val="center"/>
      </w:pPr>
      <w:r>
        <w:rPr>
          <w:rFonts w:ascii="Courier New" w:eastAsia="Courier New" w:hAnsi="Courier New" w:cs="Courier New"/>
        </w:rPr>
        <w:t>σ²_t  =  ω  +  α ε²_{t-1}  +  β σ²_{t-1}</w:t>
      </w:r>
    </w:p>
    <w:p w14:paraId="331BA704" w14:textId="77777777" w:rsidR="00E63614" w:rsidRDefault="00000000">
      <w:pPr>
        <w:spacing w:before="80" w:after="80"/>
        <w:jc w:val="both"/>
      </w:pPr>
      <w:r>
        <w:t xml:space="preserve">where σ²_t is the conditional variance, ω is the long-run variance intercept, α captures the ARCH effect (sensitivity to recent shocks), β captures GARCH persistence (how long volatility shocks endure), and </w:t>
      </w:r>
      <w:proofErr w:type="spellStart"/>
      <w:r>
        <w:t>z_t</w:t>
      </w:r>
      <w:proofErr w:type="spellEnd"/>
      <w:r>
        <w:t xml:space="preserve"> follows a </w:t>
      </w:r>
      <w:proofErr w:type="spellStart"/>
      <w:r>
        <w:t>standardised</w:t>
      </w:r>
      <w:proofErr w:type="spellEnd"/>
      <w:r>
        <w:t xml:space="preserve"> Student-t distribution with ν degrees of freedom. The condition α + β &lt; 1 ensures covariance stationarity and is verified for all series.</w:t>
      </w:r>
    </w:p>
    <w:p w14:paraId="46E32509" w14:textId="77777777" w:rsidR="00E63614" w:rsidRDefault="00000000">
      <w:pPr>
        <w:pStyle w:val="Heading2"/>
      </w:pPr>
      <w:r>
        <w:t>3.2 DCC-GARCH Model</w:t>
      </w:r>
    </w:p>
    <w:p w14:paraId="1310A948" w14:textId="77777777" w:rsidR="00E63614" w:rsidRDefault="00000000">
      <w:pPr>
        <w:spacing w:before="80" w:after="80"/>
        <w:jc w:val="both"/>
      </w:pPr>
      <w:r>
        <w:t xml:space="preserve">To model time-varying correlations across the four series jointly, the Dynamic Conditional Correlation GARCH model of Engle (2002) is employed. The DCC model extends the univariate GARCH framework to the multivariate setting through a two-step procedure. In the first step, univariate GARCH(1,1) models are estimated for each return series, yielding </w:t>
      </w:r>
      <w:proofErr w:type="spellStart"/>
      <w:r>
        <w:t>standardised</w:t>
      </w:r>
      <w:proofErr w:type="spellEnd"/>
      <w:r>
        <w:t xml:space="preserve"> residuals. In the second step, the dynamic correlation structure is estimated jointly.</w:t>
      </w:r>
    </w:p>
    <w:p w14:paraId="013AEEED" w14:textId="77777777" w:rsidR="00E63614" w:rsidRDefault="00000000">
      <w:pPr>
        <w:spacing w:before="80" w:after="80"/>
        <w:jc w:val="both"/>
      </w:pPr>
      <w:r>
        <w:t xml:space="preserve">The DCC correlation matrix </w:t>
      </w:r>
      <w:proofErr w:type="spellStart"/>
      <w:r>
        <w:t>Q_t</w:t>
      </w:r>
      <w:proofErr w:type="spellEnd"/>
      <w:r>
        <w:t xml:space="preserve"> evolves as:</w:t>
      </w:r>
    </w:p>
    <w:p w14:paraId="4CEC9D50" w14:textId="77777777" w:rsidR="00E63614" w:rsidRDefault="00000000">
      <w:pPr>
        <w:spacing w:before="100" w:after="100"/>
        <w:jc w:val="center"/>
      </w:pPr>
      <w:proofErr w:type="spellStart"/>
      <w:r>
        <w:rPr>
          <w:rFonts w:ascii="Courier New" w:eastAsia="Courier New" w:hAnsi="Courier New" w:cs="Courier New"/>
        </w:rPr>
        <w:t>Q_t</w:t>
      </w:r>
      <w:proofErr w:type="spellEnd"/>
      <w:r>
        <w:rPr>
          <w:rFonts w:ascii="Courier New" w:eastAsia="Courier New" w:hAnsi="Courier New" w:cs="Courier New"/>
        </w:rPr>
        <w:t xml:space="preserve">  =  (1 - a - b)Q̄  +  a(ε̃_{t-1} ε̃'_{t-1})  +  b Q_{t-1}</w:t>
      </w:r>
    </w:p>
    <w:p w14:paraId="2C5BEE24" w14:textId="77777777" w:rsidR="00E63614" w:rsidRDefault="00000000">
      <w:pPr>
        <w:spacing w:before="80" w:after="80"/>
        <w:jc w:val="both"/>
      </w:pPr>
      <w:r>
        <w:t xml:space="preserve">where Q̄ is the unconditional correlation matrix of </w:t>
      </w:r>
      <w:proofErr w:type="spellStart"/>
      <w:r>
        <w:t>standardised</w:t>
      </w:r>
      <w:proofErr w:type="spellEnd"/>
      <w:r>
        <w:t xml:space="preserve"> residuals, </w:t>
      </w:r>
      <w:proofErr w:type="spellStart"/>
      <w:r>
        <w:t>ε̃_t</w:t>
      </w:r>
      <w:proofErr w:type="spellEnd"/>
      <w:r>
        <w:t xml:space="preserve"> are the </w:t>
      </w:r>
      <w:proofErr w:type="spellStart"/>
      <w:r>
        <w:t>standardised</w:t>
      </w:r>
      <w:proofErr w:type="spellEnd"/>
      <w:r>
        <w:t xml:space="preserve"> residuals from the first-step univariate models, and a and b are scalar DCC parameters governing the speed of correlation adjustment and persistence respectively. The </w:t>
      </w:r>
      <w:r>
        <w:lastRenderedPageBreak/>
        <w:t xml:space="preserve">conditional correlation matrix is then </w:t>
      </w:r>
      <w:proofErr w:type="spellStart"/>
      <w:r>
        <w:t>R_t</w:t>
      </w:r>
      <w:proofErr w:type="spellEnd"/>
      <w:r>
        <w:t xml:space="preserve"> = </w:t>
      </w:r>
      <w:proofErr w:type="spellStart"/>
      <w:r>
        <w:t>diag</w:t>
      </w:r>
      <w:proofErr w:type="spellEnd"/>
      <w:r>
        <w:t>(</w:t>
      </w:r>
      <w:proofErr w:type="spellStart"/>
      <w:r>
        <w:t>Q_t</w:t>
      </w:r>
      <w:proofErr w:type="spellEnd"/>
      <w:r>
        <w:t xml:space="preserve">)^{-1/2} </w:t>
      </w:r>
      <w:proofErr w:type="spellStart"/>
      <w:r>
        <w:t>Q_t</w:t>
      </w:r>
      <w:proofErr w:type="spellEnd"/>
      <w:r>
        <w:t xml:space="preserve"> </w:t>
      </w:r>
      <w:proofErr w:type="spellStart"/>
      <w:r>
        <w:t>diag</w:t>
      </w:r>
      <w:proofErr w:type="spellEnd"/>
      <w:r>
        <w:t>(</w:t>
      </w:r>
      <w:proofErr w:type="spellStart"/>
      <w:r>
        <w:t>Q_t</w:t>
      </w:r>
      <w:proofErr w:type="spellEnd"/>
      <w:r>
        <w:t>)^{-1/2}. The condition a + b &lt; 1 ensures mean-reversion of correlations. A multivariate Student-t distribution is assumed for joint innovations to accommodate fat tails at the system level.</w:t>
      </w:r>
    </w:p>
    <w:p w14:paraId="5DCBA57B" w14:textId="77777777" w:rsidR="00E63614" w:rsidRDefault="00000000">
      <w:pPr>
        <w:pStyle w:val="Heading2"/>
      </w:pPr>
      <w:r>
        <w:t>3.3 Granger Causality Tests</w:t>
      </w:r>
    </w:p>
    <w:p w14:paraId="689847AF" w14:textId="77777777" w:rsidR="00E63614" w:rsidRDefault="00000000">
      <w:pPr>
        <w:spacing w:before="80" w:after="80"/>
        <w:jc w:val="both"/>
      </w:pPr>
      <w:r>
        <w:t xml:space="preserve">While the DCC model establishes the magnitude and dynamics of correlation, it does not identify the direction of volatility transmission. To formally test whether US market volatility predicts Pakistani market volatility and vice versa, Granger causality tests are applied to squared returns — the standard proxy for </w:t>
      </w:r>
      <w:proofErr w:type="spellStart"/>
      <w:r>
        <w:t>realised</w:t>
      </w:r>
      <w:proofErr w:type="spellEnd"/>
      <w:r>
        <w:t xml:space="preserve"> volatility in the spillover literature. A lag order of five is selected to capture approximately one trading week of dynamics. The null hypothesis is that lagged squared returns from market X contain no incremental predictive power for squared returns in market Y, conditional on own lags.</w:t>
      </w:r>
    </w:p>
    <w:p w14:paraId="3502E2E9" w14:textId="77777777" w:rsidR="00E63614" w:rsidRDefault="00000000">
      <w:pPr>
        <w:pStyle w:val="Heading1"/>
      </w:pPr>
      <w:r>
        <w:t>4. Results</w:t>
      </w:r>
    </w:p>
    <w:p w14:paraId="4AC7D26B" w14:textId="77777777" w:rsidR="00E63614" w:rsidRDefault="00000000">
      <w:pPr>
        <w:pStyle w:val="Heading2"/>
      </w:pPr>
      <w:r>
        <w:t>4.1 Preliminary Diagnostics</w:t>
      </w:r>
    </w:p>
    <w:p w14:paraId="6EE0418A" w14:textId="77777777" w:rsidR="00E63614" w:rsidRDefault="00000000">
      <w:pPr>
        <w:spacing w:before="80" w:after="80"/>
        <w:jc w:val="both"/>
      </w:pPr>
      <w:r>
        <w:t>Prior to GARCH estimation, two standard diagnostic tests are conducted. Table 2 reports Augmented Dickey-Fuller (ADF) unit root tests and Engle's ARCH LM tests for all four return series.</w:t>
      </w:r>
    </w:p>
    <w:p w14:paraId="2C3F2FD7" w14:textId="77777777" w:rsidR="00E63614" w:rsidRDefault="00E63614"/>
    <w:p w14:paraId="0F1B0361" w14:textId="77777777" w:rsidR="00E63614" w:rsidRDefault="00000000">
      <w:pPr>
        <w:spacing w:before="200" w:after="60"/>
        <w:jc w:val="center"/>
      </w:pPr>
      <w:r>
        <w:rPr>
          <w:b/>
          <w:bCs/>
          <w:sz w:val="22"/>
          <w:szCs w:val="22"/>
        </w:rPr>
        <w:t>Table 2: Stationarity and ARCH Effects Tests</w:t>
      </w:r>
    </w:p>
    <w:tbl>
      <w:tblPr>
        <w:tblW w:w="80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500"/>
      </w:tblGrid>
      <w:tr w:rsidR="00E63614" w14:paraId="58E7FEAE" w14:textId="77777777">
        <w:tblPrEx>
          <w:tblCellMar>
            <w:top w:w="0" w:type="dxa"/>
            <w:bottom w:w="0" w:type="dxa"/>
          </w:tblCellMar>
        </w:tblPrEx>
        <w:trPr>
          <w:tblHeader/>
        </w:trPr>
        <w:tc>
          <w:tcPr>
            <w:tcW w:w="2000" w:type="dxa"/>
            <w:shd w:val="clear" w:color="auto" w:fill="D9D9D9"/>
          </w:tcPr>
          <w:p w14:paraId="1A5D6387" w14:textId="77777777" w:rsidR="00E63614" w:rsidRDefault="00000000">
            <w:pPr>
              <w:spacing w:before="40" w:after="40"/>
              <w:jc w:val="center"/>
            </w:pPr>
            <w:r>
              <w:rPr>
                <w:b/>
                <w:bCs/>
                <w:sz w:val="20"/>
                <w:szCs w:val="20"/>
              </w:rPr>
              <w:t>Series</w:t>
            </w:r>
          </w:p>
        </w:tc>
        <w:tc>
          <w:tcPr>
            <w:tcW w:w="1500" w:type="dxa"/>
            <w:shd w:val="clear" w:color="auto" w:fill="D9D9D9"/>
          </w:tcPr>
          <w:p w14:paraId="0BBFE9DE" w14:textId="77777777" w:rsidR="00E63614" w:rsidRDefault="00000000">
            <w:pPr>
              <w:spacing w:before="40" w:after="40"/>
              <w:jc w:val="center"/>
            </w:pPr>
            <w:r>
              <w:rPr>
                <w:b/>
                <w:bCs/>
                <w:sz w:val="20"/>
                <w:szCs w:val="20"/>
              </w:rPr>
              <w:t>ADF Statistic</w:t>
            </w:r>
          </w:p>
        </w:tc>
        <w:tc>
          <w:tcPr>
            <w:tcW w:w="1500" w:type="dxa"/>
            <w:shd w:val="clear" w:color="auto" w:fill="D9D9D9"/>
          </w:tcPr>
          <w:p w14:paraId="5C7BA97C" w14:textId="77777777" w:rsidR="00E63614" w:rsidRDefault="00000000">
            <w:pPr>
              <w:spacing w:before="40" w:after="40"/>
              <w:jc w:val="center"/>
            </w:pPr>
            <w:r>
              <w:rPr>
                <w:b/>
                <w:bCs/>
                <w:sz w:val="20"/>
                <w:szCs w:val="20"/>
              </w:rPr>
              <w:t>ADF p-value</w:t>
            </w:r>
          </w:p>
        </w:tc>
        <w:tc>
          <w:tcPr>
            <w:tcW w:w="1500" w:type="dxa"/>
            <w:shd w:val="clear" w:color="auto" w:fill="D9D9D9"/>
          </w:tcPr>
          <w:p w14:paraId="0F21F0F6" w14:textId="77777777" w:rsidR="00E63614" w:rsidRDefault="00000000">
            <w:pPr>
              <w:spacing w:before="40" w:after="40"/>
              <w:jc w:val="center"/>
            </w:pPr>
            <w:r>
              <w:rPr>
                <w:b/>
                <w:bCs/>
                <w:sz w:val="20"/>
                <w:szCs w:val="20"/>
              </w:rPr>
              <w:t>ARCH LM χ²</w:t>
            </w:r>
          </w:p>
        </w:tc>
        <w:tc>
          <w:tcPr>
            <w:tcW w:w="1500" w:type="dxa"/>
            <w:shd w:val="clear" w:color="auto" w:fill="D9D9D9"/>
          </w:tcPr>
          <w:p w14:paraId="2425CAF6" w14:textId="77777777" w:rsidR="00E63614" w:rsidRDefault="00000000">
            <w:pPr>
              <w:spacing w:before="40" w:after="40"/>
              <w:jc w:val="center"/>
            </w:pPr>
            <w:r>
              <w:rPr>
                <w:b/>
                <w:bCs/>
                <w:sz w:val="20"/>
                <w:szCs w:val="20"/>
              </w:rPr>
              <w:t>ARCH p-value</w:t>
            </w:r>
          </w:p>
        </w:tc>
      </w:tr>
      <w:tr w:rsidR="00E63614" w14:paraId="10CFD7BF" w14:textId="77777777">
        <w:tblPrEx>
          <w:tblCellMar>
            <w:top w:w="0" w:type="dxa"/>
            <w:bottom w:w="0" w:type="dxa"/>
          </w:tblCellMar>
        </w:tblPrEx>
        <w:tc>
          <w:tcPr>
            <w:tcW w:w="2000" w:type="dxa"/>
          </w:tcPr>
          <w:p w14:paraId="572245B5" w14:textId="77777777" w:rsidR="00E63614" w:rsidRDefault="00000000">
            <w:pPr>
              <w:spacing w:before="40" w:after="40"/>
            </w:pPr>
            <w:r>
              <w:rPr>
                <w:sz w:val="20"/>
                <w:szCs w:val="20"/>
              </w:rPr>
              <w:t>Gold (USD)</w:t>
            </w:r>
          </w:p>
        </w:tc>
        <w:tc>
          <w:tcPr>
            <w:tcW w:w="1500" w:type="dxa"/>
          </w:tcPr>
          <w:p w14:paraId="58D90B31" w14:textId="77777777" w:rsidR="00E63614" w:rsidRDefault="00000000">
            <w:pPr>
              <w:spacing w:before="40" w:after="40"/>
              <w:jc w:val="center"/>
            </w:pPr>
            <w:r>
              <w:rPr>
                <w:sz w:val="20"/>
                <w:szCs w:val="20"/>
              </w:rPr>
              <w:t>-12.524</w:t>
            </w:r>
          </w:p>
        </w:tc>
        <w:tc>
          <w:tcPr>
            <w:tcW w:w="1500" w:type="dxa"/>
          </w:tcPr>
          <w:p w14:paraId="198F39DC" w14:textId="77777777" w:rsidR="00E63614" w:rsidRDefault="00000000">
            <w:pPr>
              <w:spacing w:before="40" w:after="40"/>
              <w:jc w:val="center"/>
            </w:pPr>
            <w:r>
              <w:rPr>
                <w:sz w:val="20"/>
                <w:szCs w:val="20"/>
              </w:rPr>
              <w:t>&lt; 0.01</w:t>
            </w:r>
          </w:p>
        </w:tc>
        <w:tc>
          <w:tcPr>
            <w:tcW w:w="1500" w:type="dxa"/>
          </w:tcPr>
          <w:p w14:paraId="26AB6558" w14:textId="77777777" w:rsidR="00E63614" w:rsidRDefault="00000000">
            <w:pPr>
              <w:spacing w:before="40" w:after="40"/>
              <w:jc w:val="center"/>
            </w:pPr>
            <w:r>
              <w:rPr>
                <w:sz w:val="20"/>
                <w:szCs w:val="20"/>
              </w:rPr>
              <w:t>107.03</w:t>
            </w:r>
          </w:p>
        </w:tc>
        <w:tc>
          <w:tcPr>
            <w:tcW w:w="1500" w:type="dxa"/>
          </w:tcPr>
          <w:p w14:paraId="185BB232" w14:textId="77777777" w:rsidR="00E63614" w:rsidRDefault="00000000">
            <w:pPr>
              <w:spacing w:before="40" w:after="40"/>
              <w:jc w:val="center"/>
            </w:pPr>
            <w:r>
              <w:rPr>
                <w:sz w:val="20"/>
                <w:szCs w:val="20"/>
              </w:rPr>
              <w:t>&lt; 0.001</w:t>
            </w:r>
          </w:p>
        </w:tc>
      </w:tr>
      <w:tr w:rsidR="00E63614" w14:paraId="7E91B33A" w14:textId="77777777">
        <w:tblPrEx>
          <w:tblCellMar>
            <w:top w:w="0" w:type="dxa"/>
            <w:bottom w:w="0" w:type="dxa"/>
          </w:tblCellMar>
        </w:tblPrEx>
        <w:tc>
          <w:tcPr>
            <w:tcW w:w="2000" w:type="dxa"/>
            <w:shd w:val="clear" w:color="auto" w:fill="F5F5F5"/>
          </w:tcPr>
          <w:p w14:paraId="10947AFA" w14:textId="77777777" w:rsidR="00E63614" w:rsidRDefault="00000000">
            <w:pPr>
              <w:spacing w:before="40" w:after="40"/>
            </w:pPr>
            <w:r>
              <w:rPr>
                <w:sz w:val="20"/>
                <w:szCs w:val="20"/>
              </w:rPr>
              <w:t>Silver (USD)</w:t>
            </w:r>
          </w:p>
        </w:tc>
        <w:tc>
          <w:tcPr>
            <w:tcW w:w="1500" w:type="dxa"/>
            <w:shd w:val="clear" w:color="auto" w:fill="F5F5F5"/>
          </w:tcPr>
          <w:p w14:paraId="2B3E9254" w14:textId="77777777" w:rsidR="00E63614" w:rsidRDefault="00000000">
            <w:pPr>
              <w:spacing w:before="40" w:after="40"/>
              <w:jc w:val="center"/>
            </w:pPr>
            <w:r>
              <w:rPr>
                <w:sz w:val="20"/>
                <w:szCs w:val="20"/>
              </w:rPr>
              <w:t>-13.062</w:t>
            </w:r>
          </w:p>
        </w:tc>
        <w:tc>
          <w:tcPr>
            <w:tcW w:w="1500" w:type="dxa"/>
            <w:shd w:val="clear" w:color="auto" w:fill="F5F5F5"/>
          </w:tcPr>
          <w:p w14:paraId="1A805B43" w14:textId="77777777" w:rsidR="00E63614" w:rsidRDefault="00000000">
            <w:pPr>
              <w:spacing w:before="40" w:after="40"/>
              <w:jc w:val="center"/>
            </w:pPr>
            <w:r>
              <w:rPr>
                <w:sz w:val="20"/>
                <w:szCs w:val="20"/>
              </w:rPr>
              <w:t>&lt; 0.01</w:t>
            </w:r>
          </w:p>
        </w:tc>
        <w:tc>
          <w:tcPr>
            <w:tcW w:w="1500" w:type="dxa"/>
            <w:shd w:val="clear" w:color="auto" w:fill="F5F5F5"/>
          </w:tcPr>
          <w:p w14:paraId="4939DC67" w14:textId="77777777" w:rsidR="00E63614" w:rsidRDefault="00000000">
            <w:pPr>
              <w:spacing w:before="40" w:after="40"/>
              <w:jc w:val="center"/>
            </w:pPr>
            <w:r>
              <w:rPr>
                <w:sz w:val="20"/>
                <w:szCs w:val="20"/>
              </w:rPr>
              <w:t>92.84</w:t>
            </w:r>
          </w:p>
        </w:tc>
        <w:tc>
          <w:tcPr>
            <w:tcW w:w="1500" w:type="dxa"/>
            <w:shd w:val="clear" w:color="auto" w:fill="F5F5F5"/>
          </w:tcPr>
          <w:p w14:paraId="4BC924B3" w14:textId="77777777" w:rsidR="00E63614" w:rsidRDefault="00000000">
            <w:pPr>
              <w:spacing w:before="40" w:after="40"/>
              <w:jc w:val="center"/>
            </w:pPr>
            <w:r>
              <w:rPr>
                <w:sz w:val="20"/>
                <w:szCs w:val="20"/>
              </w:rPr>
              <w:t>&lt; 0.001</w:t>
            </w:r>
          </w:p>
        </w:tc>
      </w:tr>
      <w:tr w:rsidR="00E63614" w14:paraId="0F58A1D1" w14:textId="77777777">
        <w:tblPrEx>
          <w:tblCellMar>
            <w:top w:w="0" w:type="dxa"/>
            <w:bottom w:w="0" w:type="dxa"/>
          </w:tblCellMar>
        </w:tblPrEx>
        <w:tc>
          <w:tcPr>
            <w:tcW w:w="2000" w:type="dxa"/>
          </w:tcPr>
          <w:p w14:paraId="3695ADDC" w14:textId="77777777" w:rsidR="00E63614" w:rsidRDefault="00000000">
            <w:pPr>
              <w:spacing w:before="40" w:after="40"/>
            </w:pPr>
            <w:r>
              <w:rPr>
                <w:sz w:val="20"/>
                <w:szCs w:val="20"/>
              </w:rPr>
              <w:t>Gold (PKR)</w:t>
            </w:r>
          </w:p>
        </w:tc>
        <w:tc>
          <w:tcPr>
            <w:tcW w:w="1500" w:type="dxa"/>
          </w:tcPr>
          <w:p w14:paraId="273B9914" w14:textId="77777777" w:rsidR="00E63614" w:rsidRDefault="00000000">
            <w:pPr>
              <w:spacing w:before="40" w:after="40"/>
              <w:jc w:val="center"/>
            </w:pPr>
            <w:r>
              <w:rPr>
                <w:sz w:val="20"/>
                <w:szCs w:val="20"/>
              </w:rPr>
              <w:t>-13.226</w:t>
            </w:r>
          </w:p>
        </w:tc>
        <w:tc>
          <w:tcPr>
            <w:tcW w:w="1500" w:type="dxa"/>
          </w:tcPr>
          <w:p w14:paraId="346C6B09" w14:textId="77777777" w:rsidR="00E63614" w:rsidRDefault="00000000">
            <w:pPr>
              <w:spacing w:before="40" w:after="40"/>
              <w:jc w:val="center"/>
            </w:pPr>
            <w:r>
              <w:rPr>
                <w:sz w:val="20"/>
                <w:szCs w:val="20"/>
              </w:rPr>
              <w:t>&lt; 0.01</w:t>
            </w:r>
          </w:p>
        </w:tc>
        <w:tc>
          <w:tcPr>
            <w:tcW w:w="1500" w:type="dxa"/>
          </w:tcPr>
          <w:p w14:paraId="3E52F8C9" w14:textId="77777777" w:rsidR="00E63614" w:rsidRDefault="00000000">
            <w:pPr>
              <w:spacing w:before="40" w:after="40"/>
              <w:jc w:val="center"/>
            </w:pPr>
            <w:r>
              <w:rPr>
                <w:sz w:val="20"/>
                <w:szCs w:val="20"/>
              </w:rPr>
              <w:t>63.82</w:t>
            </w:r>
          </w:p>
        </w:tc>
        <w:tc>
          <w:tcPr>
            <w:tcW w:w="1500" w:type="dxa"/>
          </w:tcPr>
          <w:p w14:paraId="101EF98F" w14:textId="77777777" w:rsidR="00E63614" w:rsidRDefault="00000000">
            <w:pPr>
              <w:spacing w:before="40" w:after="40"/>
              <w:jc w:val="center"/>
            </w:pPr>
            <w:r>
              <w:rPr>
                <w:sz w:val="20"/>
                <w:szCs w:val="20"/>
              </w:rPr>
              <w:t>&lt; 0.001</w:t>
            </w:r>
          </w:p>
        </w:tc>
      </w:tr>
      <w:tr w:rsidR="00E63614" w14:paraId="3CA56085" w14:textId="77777777">
        <w:tblPrEx>
          <w:tblCellMar>
            <w:top w:w="0" w:type="dxa"/>
            <w:bottom w:w="0" w:type="dxa"/>
          </w:tblCellMar>
        </w:tblPrEx>
        <w:tc>
          <w:tcPr>
            <w:tcW w:w="2000" w:type="dxa"/>
            <w:shd w:val="clear" w:color="auto" w:fill="F5F5F5"/>
          </w:tcPr>
          <w:p w14:paraId="5644919C" w14:textId="77777777" w:rsidR="00E63614" w:rsidRDefault="00000000">
            <w:pPr>
              <w:spacing w:before="40" w:after="40"/>
            </w:pPr>
            <w:r>
              <w:rPr>
                <w:sz w:val="20"/>
                <w:szCs w:val="20"/>
              </w:rPr>
              <w:t>Silver (PKR)</w:t>
            </w:r>
          </w:p>
        </w:tc>
        <w:tc>
          <w:tcPr>
            <w:tcW w:w="1500" w:type="dxa"/>
            <w:shd w:val="clear" w:color="auto" w:fill="F5F5F5"/>
          </w:tcPr>
          <w:p w14:paraId="1F9300D7" w14:textId="77777777" w:rsidR="00E63614" w:rsidRDefault="00000000">
            <w:pPr>
              <w:spacing w:before="40" w:after="40"/>
              <w:jc w:val="center"/>
            </w:pPr>
            <w:r>
              <w:rPr>
                <w:sz w:val="20"/>
                <w:szCs w:val="20"/>
              </w:rPr>
              <w:t>-13.601</w:t>
            </w:r>
          </w:p>
        </w:tc>
        <w:tc>
          <w:tcPr>
            <w:tcW w:w="1500" w:type="dxa"/>
            <w:shd w:val="clear" w:color="auto" w:fill="F5F5F5"/>
          </w:tcPr>
          <w:p w14:paraId="6593F28C" w14:textId="77777777" w:rsidR="00E63614" w:rsidRDefault="00000000">
            <w:pPr>
              <w:spacing w:before="40" w:after="40"/>
              <w:jc w:val="center"/>
            </w:pPr>
            <w:r>
              <w:rPr>
                <w:sz w:val="20"/>
                <w:szCs w:val="20"/>
              </w:rPr>
              <w:t>&lt; 0.01</w:t>
            </w:r>
          </w:p>
        </w:tc>
        <w:tc>
          <w:tcPr>
            <w:tcW w:w="1500" w:type="dxa"/>
            <w:shd w:val="clear" w:color="auto" w:fill="F5F5F5"/>
          </w:tcPr>
          <w:p w14:paraId="77CCD8C5" w14:textId="77777777" w:rsidR="00E63614" w:rsidRDefault="00000000">
            <w:pPr>
              <w:spacing w:before="40" w:after="40"/>
              <w:jc w:val="center"/>
            </w:pPr>
            <w:r>
              <w:rPr>
                <w:sz w:val="20"/>
                <w:szCs w:val="20"/>
              </w:rPr>
              <w:t>60.75</w:t>
            </w:r>
          </w:p>
        </w:tc>
        <w:tc>
          <w:tcPr>
            <w:tcW w:w="1500" w:type="dxa"/>
            <w:shd w:val="clear" w:color="auto" w:fill="F5F5F5"/>
          </w:tcPr>
          <w:p w14:paraId="08A4FDB3" w14:textId="77777777" w:rsidR="00E63614" w:rsidRDefault="00000000">
            <w:pPr>
              <w:spacing w:before="40" w:after="40"/>
              <w:jc w:val="center"/>
            </w:pPr>
            <w:r>
              <w:rPr>
                <w:sz w:val="20"/>
                <w:szCs w:val="20"/>
              </w:rPr>
              <w:t>&lt; 0.001</w:t>
            </w:r>
          </w:p>
        </w:tc>
      </w:tr>
    </w:tbl>
    <w:p w14:paraId="2F749367" w14:textId="77777777" w:rsidR="00E63614" w:rsidRDefault="00000000">
      <w:pPr>
        <w:spacing w:before="60" w:after="120"/>
      </w:pPr>
      <w:r>
        <w:rPr>
          <w:b/>
          <w:bCs/>
          <w:i/>
          <w:iCs/>
          <w:sz w:val="18"/>
          <w:szCs w:val="18"/>
        </w:rPr>
        <w:t xml:space="preserve">Note: </w:t>
      </w:r>
      <w:r>
        <w:rPr>
          <w:i/>
          <w:iCs/>
          <w:sz w:val="18"/>
          <w:szCs w:val="18"/>
        </w:rPr>
        <w:t>ADF test includes intercept; lag length selected by AIC. ARCH LM test uses 10 lags. *** p &lt; 0.001.</w:t>
      </w:r>
    </w:p>
    <w:p w14:paraId="26479C07" w14:textId="77777777" w:rsidR="00E63614" w:rsidRDefault="00E63614"/>
    <w:p w14:paraId="24398892" w14:textId="77777777" w:rsidR="00E63614" w:rsidRDefault="00000000">
      <w:pPr>
        <w:spacing w:before="80" w:after="80"/>
        <w:jc w:val="both"/>
      </w:pPr>
      <w:r>
        <w:t xml:space="preserve">All four series strongly reject the null hypothesis of a unit root at the 1% significance level, confirming stationarity of log returns. Engle's ARCH LM test rejects the null of no ARCH effects in all four series at the 0.1% level, with chi-squared statistics ranging from 60.75 to </w:t>
      </w:r>
      <w:r>
        <w:lastRenderedPageBreak/>
        <w:t>107.03. These results jointly confirm that the return series are stationary and exhibit significant volatility clustering, satisfying the preconditions for GARCH modelling.</w:t>
      </w:r>
    </w:p>
    <w:p w14:paraId="4E38FC37" w14:textId="77777777" w:rsidR="00E63614" w:rsidRDefault="00000000">
      <w:pPr>
        <w:pStyle w:val="Heading2"/>
      </w:pPr>
      <w:r>
        <w:t>4.2 Univariate GARCH(1,1) Estimates</w:t>
      </w:r>
    </w:p>
    <w:p w14:paraId="7B30A624" w14:textId="77777777" w:rsidR="00E63614" w:rsidRDefault="00000000">
      <w:pPr>
        <w:spacing w:before="80" w:after="80"/>
        <w:jc w:val="both"/>
      </w:pPr>
      <w:r>
        <w:t>Table 3 presents the univariate GARCH(1,1) parameter estimates obtained in the first step of the DCC estimation procedure.</w:t>
      </w:r>
    </w:p>
    <w:p w14:paraId="14629CF4" w14:textId="77777777" w:rsidR="00E63614" w:rsidRDefault="00E63614"/>
    <w:p w14:paraId="262C0972" w14:textId="77777777" w:rsidR="00E63614" w:rsidRDefault="00000000">
      <w:pPr>
        <w:spacing w:before="200" w:after="60"/>
        <w:jc w:val="center"/>
      </w:pPr>
      <w:r>
        <w:rPr>
          <w:b/>
          <w:bCs/>
          <w:sz w:val="22"/>
          <w:szCs w:val="22"/>
        </w:rPr>
        <w:t>Table 3: Univariate GARCH(1,1) Estimates</w:t>
      </w:r>
    </w:p>
    <w:tbl>
      <w:tblPr>
        <w:tblW w:w="78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1400"/>
      </w:tblGrid>
      <w:tr w:rsidR="00E63614" w14:paraId="00A28BD2" w14:textId="77777777">
        <w:tblPrEx>
          <w:tblCellMar>
            <w:top w:w="0" w:type="dxa"/>
            <w:bottom w:w="0" w:type="dxa"/>
          </w:tblCellMar>
        </w:tblPrEx>
        <w:trPr>
          <w:tblHeader/>
        </w:trPr>
        <w:tc>
          <w:tcPr>
            <w:tcW w:w="2200" w:type="dxa"/>
            <w:shd w:val="clear" w:color="auto" w:fill="D9D9D9"/>
          </w:tcPr>
          <w:p w14:paraId="027314DD" w14:textId="77777777" w:rsidR="00E63614" w:rsidRDefault="00000000">
            <w:pPr>
              <w:spacing w:before="40" w:after="40"/>
              <w:jc w:val="center"/>
            </w:pPr>
            <w:r>
              <w:rPr>
                <w:b/>
                <w:bCs/>
                <w:sz w:val="20"/>
                <w:szCs w:val="20"/>
              </w:rPr>
              <w:t>Parameter</w:t>
            </w:r>
          </w:p>
        </w:tc>
        <w:tc>
          <w:tcPr>
            <w:tcW w:w="1400" w:type="dxa"/>
            <w:shd w:val="clear" w:color="auto" w:fill="D9D9D9"/>
          </w:tcPr>
          <w:p w14:paraId="13F4097A" w14:textId="77777777" w:rsidR="00E63614" w:rsidRDefault="00000000">
            <w:pPr>
              <w:spacing w:before="40" w:after="40"/>
              <w:jc w:val="center"/>
            </w:pPr>
            <w:r>
              <w:rPr>
                <w:b/>
                <w:bCs/>
                <w:sz w:val="20"/>
                <w:szCs w:val="20"/>
              </w:rPr>
              <w:t>Gold (USD)</w:t>
            </w:r>
          </w:p>
        </w:tc>
        <w:tc>
          <w:tcPr>
            <w:tcW w:w="1400" w:type="dxa"/>
            <w:shd w:val="clear" w:color="auto" w:fill="D9D9D9"/>
          </w:tcPr>
          <w:p w14:paraId="141C40BA" w14:textId="77777777" w:rsidR="00E63614" w:rsidRDefault="00000000">
            <w:pPr>
              <w:spacing w:before="40" w:after="40"/>
              <w:jc w:val="center"/>
            </w:pPr>
            <w:r>
              <w:rPr>
                <w:b/>
                <w:bCs/>
                <w:sz w:val="20"/>
                <w:szCs w:val="20"/>
              </w:rPr>
              <w:t>Silver (USD)</w:t>
            </w:r>
          </w:p>
        </w:tc>
        <w:tc>
          <w:tcPr>
            <w:tcW w:w="1400" w:type="dxa"/>
            <w:shd w:val="clear" w:color="auto" w:fill="D9D9D9"/>
          </w:tcPr>
          <w:p w14:paraId="1AEBDAEB" w14:textId="77777777" w:rsidR="00E63614" w:rsidRDefault="00000000">
            <w:pPr>
              <w:spacing w:before="40" w:after="40"/>
              <w:jc w:val="center"/>
            </w:pPr>
            <w:r>
              <w:rPr>
                <w:b/>
                <w:bCs/>
                <w:sz w:val="20"/>
                <w:szCs w:val="20"/>
              </w:rPr>
              <w:t>Gold (PKR)</w:t>
            </w:r>
          </w:p>
        </w:tc>
        <w:tc>
          <w:tcPr>
            <w:tcW w:w="1400" w:type="dxa"/>
            <w:shd w:val="clear" w:color="auto" w:fill="D9D9D9"/>
          </w:tcPr>
          <w:p w14:paraId="653A1773" w14:textId="77777777" w:rsidR="00E63614" w:rsidRDefault="00000000">
            <w:pPr>
              <w:spacing w:before="40" w:after="40"/>
              <w:jc w:val="center"/>
            </w:pPr>
            <w:r>
              <w:rPr>
                <w:b/>
                <w:bCs/>
                <w:sz w:val="20"/>
                <w:szCs w:val="20"/>
              </w:rPr>
              <w:t>Silver (PKR)</w:t>
            </w:r>
          </w:p>
        </w:tc>
      </w:tr>
      <w:tr w:rsidR="00E63614" w14:paraId="239B1EF9" w14:textId="77777777">
        <w:tblPrEx>
          <w:tblCellMar>
            <w:top w:w="0" w:type="dxa"/>
            <w:bottom w:w="0" w:type="dxa"/>
          </w:tblCellMar>
        </w:tblPrEx>
        <w:tc>
          <w:tcPr>
            <w:tcW w:w="2200" w:type="dxa"/>
          </w:tcPr>
          <w:p w14:paraId="76DAA01F" w14:textId="77777777" w:rsidR="00E63614" w:rsidRDefault="00000000">
            <w:pPr>
              <w:spacing w:before="40" w:after="40"/>
            </w:pPr>
            <w:r>
              <w:rPr>
                <w:sz w:val="20"/>
                <w:szCs w:val="20"/>
              </w:rPr>
              <w:t>μ (mean)</w:t>
            </w:r>
          </w:p>
        </w:tc>
        <w:tc>
          <w:tcPr>
            <w:tcW w:w="1400" w:type="dxa"/>
          </w:tcPr>
          <w:p w14:paraId="3C3DC53E" w14:textId="77777777" w:rsidR="00E63614" w:rsidRDefault="00000000">
            <w:pPr>
              <w:spacing w:before="40" w:after="40"/>
              <w:jc w:val="center"/>
            </w:pPr>
            <w:r>
              <w:rPr>
                <w:sz w:val="20"/>
                <w:szCs w:val="20"/>
              </w:rPr>
              <w:t>0.0416**</w:t>
            </w:r>
          </w:p>
        </w:tc>
        <w:tc>
          <w:tcPr>
            <w:tcW w:w="1400" w:type="dxa"/>
          </w:tcPr>
          <w:p w14:paraId="28C4A3D5" w14:textId="77777777" w:rsidR="00E63614" w:rsidRDefault="00000000">
            <w:pPr>
              <w:spacing w:before="40" w:after="40"/>
              <w:jc w:val="center"/>
            </w:pPr>
            <w:r>
              <w:rPr>
                <w:sz w:val="20"/>
                <w:szCs w:val="20"/>
              </w:rPr>
              <w:t>0.0313</w:t>
            </w:r>
          </w:p>
        </w:tc>
        <w:tc>
          <w:tcPr>
            <w:tcW w:w="1400" w:type="dxa"/>
          </w:tcPr>
          <w:p w14:paraId="1ACDE0B9" w14:textId="77777777" w:rsidR="00E63614" w:rsidRDefault="00000000">
            <w:pPr>
              <w:spacing w:before="40" w:after="40"/>
              <w:jc w:val="center"/>
            </w:pPr>
            <w:r>
              <w:rPr>
                <w:sz w:val="20"/>
                <w:szCs w:val="20"/>
              </w:rPr>
              <w:t>0.0783***</w:t>
            </w:r>
          </w:p>
        </w:tc>
        <w:tc>
          <w:tcPr>
            <w:tcW w:w="1400" w:type="dxa"/>
          </w:tcPr>
          <w:p w14:paraId="6732D17A" w14:textId="77777777" w:rsidR="00E63614" w:rsidRDefault="00000000">
            <w:pPr>
              <w:spacing w:before="40" w:after="40"/>
              <w:jc w:val="center"/>
            </w:pPr>
            <w:r>
              <w:rPr>
                <w:sz w:val="20"/>
                <w:szCs w:val="20"/>
              </w:rPr>
              <w:t>0.0653*</w:t>
            </w:r>
          </w:p>
        </w:tc>
      </w:tr>
      <w:tr w:rsidR="00E63614" w14:paraId="20B033D8" w14:textId="77777777">
        <w:tblPrEx>
          <w:tblCellMar>
            <w:top w:w="0" w:type="dxa"/>
            <w:bottom w:w="0" w:type="dxa"/>
          </w:tblCellMar>
        </w:tblPrEx>
        <w:tc>
          <w:tcPr>
            <w:tcW w:w="2200" w:type="dxa"/>
            <w:shd w:val="clear" w:color="auto" w:fill="F5F5F5"/>
          </w:tcPr>
          <w:p w14:paraId="10FFEE48" w14:textId="77777777" w:rsidR="00E63614" w:rsidRDefault="00000000">
            <w:pPr>
              <w:spacing w:before="40" w:after="40"/>
            </w:pPr>
            <w:r>
              <w:rPr>
                <w:sz w:val="20"/>
                <w:szCs w:val="20"/>
              </w:rPr>
              <w:t>ω (intercept)</w:t>
            </w:r>
          </w:p>
        </w:tc>
        <w:tc>
          <w:tcPr>
            <w:tcW w:w="1400" w:type="dxa"/>
            <w:shd w:val="clear" w:color="auto" w:fill="F5F5F5"/>
          </w:tcPr>
          <w:p w14:paraId="4564FFFF" w14:textId="77777777" w:rsidR="00E63614" w:rsidRDefault="00000000">
            <w:pPr>
              <w:spacing w:before="40" w:after="40"/>
              <w:jc w:val="center"/>
            </w:pPr>
            <w:r>
              <w:rPr>
                <w:sz w:val="20"/>
                <w:szCs w:val="20"/>
              </w:rPr>
              <w:t>0.0093***</w:t>
            </w:r>
          </w:p>
        </w:tc>
        <w:tc>
          <w:tcPr>
            <w:tcW w:w="1400" w:type="dxa"/>
            <w:shd w:val="clear" w:color="auto" w:fill="F5F5F5"/>
          </w:tcPr>
          <w:p w14:paraId="4EBDAA2F" w14:textId="77777777" w:rsidR="00E63614" w:rsidRDefault="00000000">
            <w:pPr>
              <w:spacing w:before="40" w:after="40"/>
              <w:jc w:val="center"/>
            </w:pPr>
            <w:r>
              <w:rPr>
                <w:sz w:val="20"/>
                <w:szCs w:val="20"/>
              </w:rPr>
              <w:t>0.0332***</w:t>
            </w:r>
          </w:p>
        </w:tc>
        <w:tc>
          <w:tcPr>
            <w:tcW w:w="1400" w:type="dxa"/>
            <w:shd w:val="clear" w:color="auto" w:fill="F5F5F5"/>
          </w:tcPr>
          <w:p w14:paraId="5D36B107" w14:textId="77777777" w:rsidR="00E63614" w:rsidRDefault="00000000">
            <w:pPr>
              <w:spacing w:before="40" w:after="40"/>
              <w:jc w:val="center"/>
            </w:pPr>
            <w:r>
              <w:rPr>
                <w:sz w:val="20"/>
                <w:szCs w:val="20"/>
              </w:rPr>
              <w:t>0.1384*</w:t>
            </w:r>
          </w:p>
        </w:tc>
        <w:tc>
          <w:tcPr>
            <w:tcW w:w="1400" w:type="dxa"/>
            <w:shd w:val="clear" w:color="auto" w:fill="F5F5F5"/>
          </w:tcPr>
          <w:p w14:paraId="16323F39" w14:textId="77777777" w:rsidR="00E63614" w:rsidRDefault="00000000">
            <w:pPr>
              <w:spacing w:before="40" w:after="40"/>
              <w:jc w:val="center"/>
            </w:pPr>
            <w:r>
              <w:rPr>
                <w:sz w:val="20"/>
                <w:szCs w:val="20"/>
              </w:rPr>
              <w:t>0.0726***</w:t>
            </w:r>
          </w:p>
        </w:tc>
      </w:tr>
      <w:tr w:rsidR="00E63614" w14:paraId="4EDCC62F" w14:textId="77777777">
        <w:tblPrEx>
          <w:tblCellMar>
            <w:top w:w="0" w:type="dxa"/>
            <w:bottom w:w="0" w:type="dxa"/>
          </w:tblCellMar>
        </w:tblPrEx>
        <w:tc>
          <w:tcPr>
            <w:tcW w:w="2200" w:type="dxa"/>
          </w:tcPr>
          <w:p w14:paraId="22C1998C" w14:textId="77777777" w:rsidR="00E63614" w:rsidRDefault="00000000">
            <w:pPr>
              <w:spacing w:before="40" w:after="40"/>
            </w:pPr>
            <w:r>
              <w:rPr>
                <w:sz w:val="20"/>
                <w:szCs w:val="20"/>
              </w:rPr>
              <w:t>α (ARCH)</w:t>
            </w:r>
          </w:p>
        </w:tc>
        <w:tc>
          <w:tcPr>
            <w:tcW w:w="1400" w:type="dxa"/>
          </w:tcPr>
          <w:p w14:paraId="782C4C8C" w14:textId="77777777" w:rsidR="00E63614" w:rsidRDefault="00000000">
            <w:pPr>
              <w:spacing w:before="40" w:after="40"/>
              <w:jc w:val="center"/>
            </w:pPr>
            <w:r>
              <w:rPr>
                <w:sz w:val="20"/>
                <w:szCs w:val="20"/>
              </w:rPr>
              <w:t>0.0251***</w:t>
            </w:r>
          </w:p>
        </w:tc>
        <w:tc>
          <w:tcPr>
            <w:tcW w:w="1400" w:type="dxa"/>
          </w:tcPr>
          <w:p w14:paraId="56819C02" w14:textId="77777777" w:rsidR="00E63614" w:rsidRDefault="00000000">
            <w:pPr>
              <w:spacing w:before="40" w:after="40"/>
              <w:jc w:val="center"/>
            </w:pPr>
            <w:r>
              <w:rPr>
                <w:sz w:val="20"/>
                <w:szCs w:val="20"/>
              </w:rPr>
              <w:t>0.0321***</w:t>
            </w:r>
          </w:p>
        </w:tc>
        <w:tc>
          <w:tcPr>
            <w:tcW w:w="1400" w:type="dxa"/>
          </w:tcPr>
          <w:p w14:paraId="454ACA06" w14:textId="77777777" w:rsidR="00E63614" w:rsidRDefault="00000000">
            <w:pPr>
              <w:spacing w:before="40" w:after="40"/>
              <w:jc w:val="center"/>
            </w:pPr>
            <w:r>
              <w:rPr>
                <w:sz w:val="20"/>
                <w:szCs w:val="20"/>
              </w:rPr>
              <w:t>0.0710***</w:t>
            </w:r>
          </w:p>
        </w:tc>
        <w:tc>
          <w:tcPr>
            <w:tcW w:w="1400" w:type="dxa"/>
          </w:tcPr>
          <w:p w14:paraId="61352517" w14:textId="77777777" w:rsidR="00E63614" w:rsidRDefault="00000000">
            <w:pPr>
              <w:spacing w:before="40" w:after="40"/>
              <w:jc w:val="center"/>
            </w:pPr>
            <w:r>
              <w:rPr>
                <w:sz w:val="20"/>
                <w:szCs w:val="20"/>
              </w:rPr>
              <w:t>0.0349***</w:t>
            </w:r>
          </w:p>
        </w:tc>
      </w:tr>
      <w:tr w:rsidR="00E63614" w14:paraId="0DCE34AB" w14:textId="77777777">
        <w:tblPrEx>
          <w:tblCellMar>
            <w:top w:w="0" w:type="dxa"/>
            <w:bottom w:w="0" w:type="dxa"/>
          </w:tblCellMar>
        </w:tblPrEx>
        <w:tc>
          <w:tcPr>
            <w:tcW w:w="2200" w:type="dxa"/>
            <w:shd w:val="clear" w:color="auto" w:fill="F5F5F5"/>
          </w:tcPr>
          <w:p w14:paraId="06ABE952" w14:textId="77777777" w:rsidR="00E63614" w:rsidRDefault="00000000">
            <w:pPr>
              <w:spacing w:before="40" w:after="40"/>
            </w:pPr>
            <w:r>
              <w:rPr>
                <w:sz w:val="20"/>
                <w:szCs w:val="20"/>
              </w:rPr>
              <w:t>β (GARCH)</w:t>
            </w:r>
          </w:p>
        </w:tc>
        <w:tc>
          <w:tcPr>
            <w:tcW w:w="1400" w:type="dxa"/>
            <w:shd w:val="clear" w:color="auto" w:fill="F5F5F5"/>
          </w:tcPr>
          <w:p w14:paraId="0C22A604" w14:textId="77777777" w:rsidR="00E63614" w:rsidRDefault="00000000">
            <w:pPr>
              <w:spacing w:before="40" w:after="40"/>
              <w:jc w:val="center"/>
            </w:pPr>
            <w:r>
              <w:rPr>
                <w:sz w:val="20"/>
                <w:szCs w:val="20"/>
              </w:rPr>
              <w:t>0.9667***</w:t>
            </w:r>
          </w:p>
        </w:tc>
        <w:tc>
          <w:tcPr>
            <w:tcW w:w="1400" w:type="dxa"/>
            <w:shd w:val="clear" w:color="auto" w:fill="F5F5F5"/>
          </w:tcPr>
          <w:p w14:paraId="284795E9" w14:textId="77777777" w:rsidR="00E63614" w:rsidRDefault="00000000">
            <w:pPr>
              <w:spacing w:before="40" w:after="40"/>
              <w:jc w:val="center"/>
            </w:pPr>
            <w:r>
              <w:rPr>
                <w:sz w:val="20"/>
                <w:szCs w:val="20"/>
              </w:rPr>
              <w:t>0.9636***</w:t>
            </w:r>
          </w:p>
        </w:tc>
        <w:tc>
          <w:tcPr>
            <w:tcW w:w="1400" w:type="dxa"/>
            <w:shd w:val="clear" w:color="auto" w:fill="F5F5F5"/>
          </w:tcPr>
          <w:p w14:paraId="5D4ED6CC" w14:textId="77777777" w:rsidR="00E63614" w:rsidRDefault="00000000">
            <w:pPr>
              <w:spacing w:before="40" w:after="40"/>
              <w:jc w:val="center"/>
            </w:pPr>
            <w:r>
              <w:rPr>
                <w:sz w:val="20"/>
                <w:szCs w:val="20"/>
              </w:rPr>
              <w:t>0.8541***</w:t>
            </w:r>
          </w:p>
        </w:tc>
        <w:tc>
          <w:tcPr>
            <w:tcW w:w="1400" w:type="dxa"/>
            <w:shd w:val="clear" w:color="auto" w:fill="F5F5F5"/>
          </w:tcPr>
          <w:p w14:paraId="34933111" w14:textId="77777777" w:rsidR="00E63614" w:rsidRDefault="00000000">
            <w:pPr>
              <w:spacing w:before="40" w:after="40"/>
              <w:jc w:val="center"/>
            </w:pPr>
            <w:r>
              <w:rPr>
                <w:sz w:val="20"/>
                <w:szCs w:val="20"/>
              </w:rPr>
              <w:t>0.9526***</w:t>
            </w:r>
          </w:p>
        </w:tc>
      </w:tr>
      <w:tr w:rsidR="00E63614" w14:paraId="5345C709" w14:textId="77777777">
        <w:tblPrEx>
          <w:tblCellMar>
            <w:top w:w="0" w:type="dxa"/>
            <w:bottom w:w="0" w:type="dxa"/>
          </w:tblCellMar>
        </w:tblPrEx>
        <w:tc>
          <w:tcPr>
            <w:tcW w:w="2200" w:type="dxa"/>
          </w:tcPr>
          <w:p w14:paraId="3AC72F48" w14:textId="77777777" w:rsidR="00E63614" w:rsidRDefault="00000000">
            <w:pPr>
              <w:spacing w:before="40" w:after="40"/>
            </w:pPr>
            <w:r>
              <w:rPr>
                <w:sz w:val="20"/>
                <w:szCs w:val="20"/>
              </w:rPr>
              <w:t>α + β</w:t>
            </w:r>
          </w:p>
        </w:tc>
        <w:tc>
          <w:tcPr>
            <w:tcW w:w="1400" w:type="dxa"/>
          </w:tcPr>
          <w:p w14:paraId="066DA89D" w14:textId="77777777" w:rsidR="00E63614" w:rsidRDefault="00000000">
            <w:pPr>
              <w:spacing w:before="40" w:after="40"/>
              <w:jc w:val="center"/>
            </w:pPr>
            <w:r>
              <w:rPr>
                <w:sz w:val="20"/>
                <w:szCs w:val="20"/>
              </w:rPr>
              <w:t>0.9918</w:t>
            </w:r>
          </w:p>
        </w:tc>
        <w:tc>
          <w:tcPr>
            <w:tcW w:w="1400" w:type="dxa"/>
          </w:tcPr>
          <w:p w14:paraId="37EA3F24" w14:textId="77777777" w:rsidR="00E63614" w:rsidRDefault="00000000">
            <w:pPr>
              <w:spacing w:before="40" w:after="40"/>
              <w:jc w:val="center"/>
            </w:pPr>
            <w:r>
              <w:rPr>
                <w:sz w:val="20"/>
                <w:szCs w:val="20"/>
              </w:rPr>
              <w:t>0.9957</w:t>
            </w:r>
          </w:p>
        </w:tc>
        <w:tc>
          <w:tcPr>
            <w:tcW w:w="1400" w:type="dxa"/>
          </w:tcPr>
          <w:p w14:paraId="30851315" w14:textId="77777777" w:rsidR="00E63614" w:rsidRDefault="00000000">
            <w:pPr>
              <w:spacing w:before="40" w:after="40"/>
              <w:jc w:val="center"/>
            </w:pPr>
            <w:r>
              <w:rPr>
                <w:sz w:val="20"/>
                <w:szCs w:val="20"/>
              </w:rPr>
              <w:t>0.9251</w:t>
            </w:r>
          </w:p>
        </w:tc>
        <w:tc>
          <w:tcPr>
            <w:tcW w:w="1400" w:type="dxa"/>
          </w:tcPr>
          <w:p w14:paraId="7C39DFA5" w14:textId="77777777" w:rsidR="00E63614" w:rsidRDefault="00000000">
            <w:pPr>
              <w:spacing w:before="40" w:after="40"/>
              <w:jc w:val="center"/>
            </w:pPr>
            <w:r>
              <w:rPr>
                <w:sz w:val="20"/>
                <w:szCs w:val="20"/>
              </w:rPr>
              <w:t>0.9875</w:t>
            </w:r>
          </w:p>
        </w:tc>
      </w:tr>
      <w:tr w:rsidR="00E63614" w14:paraId="76A2E827" w14:textId="77777777">
        <w:tblPrEx>
          <w:tblCellMar>
            <w:top w:w="0" w:type="dxa"/>
            <w:bottom w:w="0" w:type="dxa"/>
          </w:tblCellMar>
        </w:tblPrEx>
        <w:tc>
          <w:tcPr>
            <w:tcW w:w="2200" w:type="dxa"/>
            <w:shd w:val="clear" w:color="auto" w:fill="F5F5F5"/>
          </w:tcPr>
          <w:p w14:paraId="36F1751E" w14:textId="77777777" w:rsidR="00E63614" w:rsidRDefault="00000000">
            <w:pPr>
              <w:spacing w:before="40" w:after="40"/>
            </w:pPr>
            <w:r>
              <w:rPr>
                <w:sz w:val="20"/>
                <w:szCs w:val="20"/>
              </w:rPr>
              <w:t>Shape (ν)</w:t>
            </w:r>
          </w:p>
        </w:tc>
        <w:tc>
          <w:tcPr>
            <w:tcW w:w="1400" w:type="dxa"/>
            <w:shd w:val="clear" w:color="auto" w:fill="F5F5F5"/>
          </w:tcPr>
          <w:p w14:paraId="6826D95C" w14:textId="77777777" w:rsidR="00E63614" w:rsidRDefault="00000000">
            <w:pPr>
              <w:spacing w:before="40" w:after="40"/>
              <w:jc w:val="center"/>
            </w:pPr>
            <w:r>
              <w:rPr>
                <w:sz w:val="20"/>
                <w:szCs w:val="20"/>
              </w:rPr>
              <w:t>4.344***</w:t>
            </w:r>
          </w:p>
        </w:tc>
        <w:tc>
          <w:tcPr>
            <w:tcW w:w="1400" w:type="dxa"/>
            <w:shd w:val="clear" w:color="auto" w:fill="F5F5F5"/>
          </w:tcPr>
          <w:p w14:paraId="356D99FB" w14:textId="77777777" w:rsidR="00E63614" w:rsidRDefault="00000000">
            <w:pPr>
              <w:spacing w:before="40" w:after="40"/>
              <w:jc w:val="center"/>
            </w:pPr>
            <w:r>
              <w:rPr>
                <w:sz w:val="20"/>
                <w:szCs w:val="20"/>
              </w:rPr>
              <w:t>3.381***</w:t>
            </w:r>
          </w:p>
        </w:tc>
        <w:tc>
          <w:tcPr>
            <w:tcW w:w="1400" w:type="dxa"/>
            <w:shd w:val="clear" w:color="auto" w:fill="F5F5F5"/>
          </w:tcPr>
          <w:p w14:paraId="48B8F9D1" w14:textId="77777777" w:rsidR="00E63614" w:rsidRDefault="00000000">
            <w:pPr>
              <w:spacing w:before="40" w:after="40"/>
              <w:jc w:val="center"/>
            </w:pPr>
            <w:r>
              <w:rPr>
                <w:sz w:val="20"/>
                <w:szCs w:val="20"/>
              </w:rPr>
              <w:t>4.385***</w:t>
            </w:r>
          </w:p>
        </w:tc>
        <w:tc>
          <w:tcPr>
            <w:tcW w:w="1400" w:type="dxa"/>
            <w:shd w:val="clear" w:color="auto" w:fill="F5F5F5"/>
          </w:tcPr>
          <w:p w14:paraId="7B549346" w14:textId="77777777" w:rsidR="00E63614" w:rsidRDefault="00000000">
            <w:pPr>
              <w:spacing w:before="40" w:after="40"/>
              <w:jc w:val="center"/>
            </w:pPr>
            <w:r>
              <w:rPr>
                <w:sz w:val="20"/>
                <w:szCs w:val="20"/>
              </w:rPr>
              <w:t>3.757***</w:t>
            </w:r>
          </w:p>
        </w:tc>
      </w:tr>
    </w:tbl>
    <w:p w14:paraId="62B10698" w14:textId="77777777" w:rsidR="00E63614" w:rsidRDefault="00000000">
      <w:pPr>
        <w:spacing w:before="60" w:after="120"/>
      </w:pPr>
      <w:r>
        <w:rPr>
          <w:b/>
          <w:bCs/>
          <w:i/>
          <w:iCs/>
          <w:sz w:val="18"/>
          <w:szCs w:val="18"/>
        </w:rPr>
        <w:t xml:space="preserve">Note: </w:t>
      </w:r>
      <w:r>
        <w:rPr>
          <w:i/>
          <w:iCs/>
          <w:sz w:val="18"/>
          <w:szCs w:val="18"/>
        </w:rPr>
        <w:t>*** p &lt; 0.01; ** p &lt; 0.05; * p &lt; 0.10. Shape parameter refers to degrees of freedom of the Student-t error distribution. α + β &lt; 1 confirms covariance stationarity for all series.</w:t>
      </w:r>
    </w:p>
    <w:p w14:paraId="3C56DABF" w14:textId="77777777" w:rsidR="00E63614" w:rsidRDefault="00E63614"/>
    <w:p w14:paraId="6B12AFF2" w14:textId="77777777" w:rsidR="00E63614" w:rsidRDefault="00000000">
      <w:pPr>
        <w:spacing w:before="80" w:after="80"/>
        <w:jc w:val="both"/>
      </w:pPr>
      <w:r>
        <w:t>Several findings emerge from Table 3. First, all ARCH (α) and GARCH (β) parameters are highly significant across all four series, confirming the presence of time-varying conditional variances. Second, β estimates are uniformly high (ranging from 0.854 to 0.967), indicating strong persistence in volatility shocks — once volatility rises, it decays slowly. Third, the sum α + β is below unity for all series, confirming covariance stationarity. Fourth, the estimated degrees of freedom (ν) range between 3.4 and 4.4, confirming fat-tailed distributions and validating the use of Student-t errors. The Pakistani gold series displays a notably lower β (0.854) compared to its COMEX counterpart (0.967), suggesting that PKR exchange rate volatility introduces additional short-run noise that partially dissipates the GARCH persistence.</w:t>
      </w:r>
    </w:p>
    <w:p w14:paraId="6D4BE641" w14:textId="77777777" w:rsidR="00733AB7" w:rsidRDefault="00733AB7">
      <w:pPr>
        <w:spacing w:before="80" w:after="80"/>
        <w:jc w:val="both"/>
      </w:pPr>
    </w:p>
    <w:p w14:paraId="41DD50F9" w14:textId="77777777" w:rsidR="00733AB7" w:rsidRDefault="00733AB7">
      <w:pPr>
        <w:spacing w:before="80" w:after="80"/>
        <w:jc w:val="both"/>
      </w:pPr>
    </w:p>
    <w:p w14:paraId="373C3FFC" w14:textId="77777777" w:rsidR="00733AB7" w:rsidRDefault="00733AB7">
      <w:pPr>
        <w:spacing w:before="80" w:after="80"/>
        <w:jc w:val="both"/>
      </w:pPr>
    </w:p>
    <w:p w14:paraId="46F4B998" w14:textId="77777777" w:rsidR="00E63614" w:rsidRDefault="00000000">
      <w:pPr>
        <w:pStyle w:val="Heading2"/>
      </w:pPr>
      <w:r>
        <w:lastRenderedPageBreak/>
        <w:t>4.3 DCC-GARCH Results</w:t>
      </w:r>
    </w:p>
    <w:p w14:paraId="3580DE9A" w14:textId="77777777" w:rsidR="00E63614" w:rsidRDefault="00000000">
      <w:pPr>
        <w:spacing w:before="80" w:after="80"/>
        <w:jc w:val="both"/>
      </w:pPr>
      <w:r>
        <w:t>Table 4 presents the joint DCC parameter estimates alongside model fit statistics.</w:t>
      </w:r>
    </w:p>
    <w:p w14:paraId="2BE88061" w14:textId="77777777" w:rsidR="00E63614" w:rsidRDefault="00E63614"/>
    <w:p w14:paraId="1191D931" w14:textId="77777777" w:rsidR="00E63614" w:rsidRDefault="00000000">
      <w:pPr>
        <w:spacing w:before="200" w:after="60"/>
        <w:jc w:val="center"/>
      </w:pPr>
      <w:r>
        <w:rPr>
          <w:b/>
          <w:bCs/>
          <w:sz w:val="22"/>
          <w:szCs w:val="22"/>
        </w:rPr>
        <w:t>Table 4: DCC-GARCH Parameter Estimates</w:t>
      </w:r>
    </w:p>
    <w:tbl>
      <w:tblPr>
        <w:tblW w:w="74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400"/>
        <w:gridCol w:w="1000"/>
      </w:tblGrid>
      <w:tr w:rsidR="00E63614" w14:paraId="5E4360CF" w14:textId="77777777">
        <w:tblPrEx>
          <w:tblCellMar>
            <w:top w:w="0" w:type="dxa"/>
            <w:bottom w:w="0" w:type="dxa"/>
          </w:tblCellMar>
        </w:tblPrEx>
        <w:trPr>
          <w:tblHeader/>
        </w:trPr>
        <w:tc>
          <w:tcPr>
            <w:tcW w:w="2400" w:type="dxa"/>
            <w:shd w:val="clear" w:color="auto" w:fill="D9D9D9"/>
          </w:tcPr>
          <w:p w14:paraId="2345D903" w14:textId="77777777" w:rsidR="00E63614" w:rsidRDefault="00000000">
            <w:pPr>
              <w:spacing w:before="40" w:after="40"/>
              <w:jc w:val="center"/>
            </w:pPr>
            <w:r>
              <w:rPr>
                <w:b/>
                <w:bCs/>
                <w:sz w:val="20"/>
                <w:szCs w:val="20"/>
              </w:rPr>
              <w:t>Parameter</w:t>
            </w:r>
          </w:p>
        </w:tc>
        <w:tc>
          <w:tcPr>
            <w:tcW w:w="1200" w:type="dxa"/>
            <w:shd w:val="clear" w:color="auto" w:fill="D9D9D9"/>
          </w:tcPr>
          <w:p w14:paraId="49A30202" w14:textId="77777777" w:rsidR="00E63614" w:rsidRDefault="00000000">
            <w:pPr>
              <w:spacing w:before="40" w:after="40"/>
              <w:jc w:val="center"/>
            </w:pPr>
            <w:r>
              <w:rPr>
                <w:b/>
                <w:bCs/>
                <w:sz w:val="20"/>
                <w:szCs w:val="20"/>
              </w:rPr>
              <w:t>Estimate</w:t>
            </w:r>
          </w:p>
        </w:tc>
        <w:tc>
          <w:tcPr>
            <w:tcW w:w="1400" w:type="dxa"/>
            <w:shd w:val="clear" w:color="auto" w:fill="D9D9D9"/>
          </w:tcPr>
          <w:p w14:paraId="0D90F03B" w14:textId="77777777" w:rsidR="00E63614" w:rsidRDefault="00000000">
            <w:pPr>
              <w:spacing w:before="40" w:after="40"/>
              <w:jc w:val="center"/>
            </w:pPr>
            <w:r>
              <w:rPr>
                <w:b/>
                <w:bCs/>
                <w:sz w:val="20"/>
                <w:szCs w:val="20"/>
              </w:rPr>
              <w:t>Std. Error</w:t>
            </w:r>
          </w:p>
        </w:tc>
        <w:tc>
          <w:tcPr>
            <w:tcW w:w="1400" w:type="dxa"/>
            <w:shd w:val="clear" w:color="auto" w:fill="D9D9D9"/>
          </w:tcPr>
          <w:p w14:paraId="0C5CB152" w14:textId="77777777" w:rsidR="00E63614" w:rsidRDefault="00000000">
            <w:pPr>
              <w:spacing w:before="40" w:after="40"/>
              <w:jc w:val="center"/>
            </w:pPr>
            <w:r>
              <w:rPr>
                <w:b/>
                <w:bCs/>
                <w:sz w:val="20"/>
                <w:szCs w:val="20"/>
              </w:rPr>
              <w:t>t-statistic</w:t>
            </w:r>
          </w:p>
        </w:tc>
        <w:tc>
          <w:tcPr>
            <w:tcW w:w="1000" w:type="dxa"/>
            <w:shd w:val="clear" w:color="auto" w:fill="D9D9D9"/>
          </w:tcPr>
          <w:p w14:paraId="5B0B5EDE" w14:textId="77777777" w:rsidR="00E63614" w:rsidRDefault="00000000">
            <w:pPr>
              <w:spacing w:before="40" w:after="40"/>
              <w:jc w:val="center"/>
            </w:pPr>
            <w:r>
              <w:rPr>
                <w:b/>
                <w:bCs/>
                <w:sz w:val="20"/>
                <w:szCs w:val="20"/>
              </w:rPr>
              <w:t>p-value</w:t>
            </w:r>
          </w:p>
        </w:tc>
      </w:tr>
      <w:tr w:rsidR="00E63614" w14:paraId="759F02D6" w14:textId="77777777">
        <w:tblPrEx>
          <w:tblCellMar>
            <w:top w:w="0" w:type="dxa"/>
            <w:bottom w:w="0" w:type="dxa"/>
          </w:tblCellMar>
        </w:tblPrEx>
        <w:tc>
          <w:tcPr>
            <w:tcW w:w="2400" w:type="dxa"/>
          </w:tcPr>
          <w:p w14:paraId="59E5D032" w14:textId="77777777" w:rsidR="00E63614" w:rsidRDefault="00000000">
            <w:pPr>
              <w:spacing w:before="40" w:after="40"/>
            </w:pPr>
            <w:r>
              <w:rPr>
                <w:sz w:val="20"/>
                <w:szCs w:val="20"/>
              </w:rPr>
              <w:t>dcca1 (a)</w:t>
            </w:r>
          </w:p>
        </w:tc>
        <w:tc>
          <w:tcPr>
            <w:tcW w:w="1200" w:type="dxa"/>
          </w:tcPr>
          <w:p w14:paraId="6070F6B0" w14:textId="77777777" w:rsidR="00E63614" w:rsidRDefault="00000000">
            <w:pPr>
              <w:spacing w:before="40" w:after="40"/>
              <w:jc w:val="center"/>
            </w:pPr>
            <w:r>
              <w:rPr>
                <w:sz w:val="20"/>
                <w:szCs w:val="20"/>
              </w:rPr>
              <w:t>0.0348</w:t>
            </w:r>
          </w:p>
        </w:tc>
        <w:tc>
          <w:tcPr>
            <w:tcW w:w="1400" w:type="dxa"/>
          </w:tcPr>
          <w:p w14:paraId="68B4A6AF" w14:textId="77777777" w:rsidR="00E63614" w:rsidRDefault="00000000">
            <w:pPr>
              <w:spacing w:before="40" w:after="40"/>
              <w:jc w:val="center"/>
            </w:pPr>
            <w:r>
              <w:rPr>
                <w:sz w:val="20"/>
                <w:szCs w:val="20"/>
              </w:rPr>
              <w:t>0.0019</w:t>
            </w:r>
          </w:p>
        </w:tc>
        <w:tc>
          <w:tcPr>
            <w:tcW w:w="1400" w:type="dxa"/>
          </w:tcPr>
          <w:p w14:paraId="756B853A" w14:textId="77777777" w:rsidR="00E63614" w:rsidRDefault="00000000">
            <w:pPr>
              <w:spacing w:before="40" w:after="40"/>
              <w:jc w:val="center"/>
            </w:pPr>
            <w:r>
              <w:rPr>
                <w:sz w:val="20"/>
                <w:szCs w:val="20"/>
              </w:rPr>
              <w:t>17.91</w:t>
            </w:r>
          </w:p>
        </w:tc>
        <w:tc>
          <w:tcPr>
            <w:tcW w:w="1000" w:type="dxa"/>
          </w:tcPr>
          <w:p w14:paraId="38E2F35D" w14:textId="77777777" w:rsidR="00E63614" w:rsidRDefault="00000000">
            <w:pPr>
              <w:spacing w:before="40" w:after="40"/>
              <w:jc w:val="center"/>
            </w:pPr>
            <w:r>
              <w:rPr>
                <w:sz w:val="20"/>
                <w:szCs w:val="20"/>
              </w:rPr>
              <w:t>&lt; 0.001</w:t>
            </w:r>
          </w:p>
        </w:tc>
      </w:tr>
      <w:tr w:rsidR="00E63614" w14:paraId="22A18A65" w14:textId="77777777">
        <w:tblPrEx>
          <w:tblCellMar>
            <w:top w:w="0" w:type="dxa"/>
            <w:bottom w:w="0" w:type="dxa"/>
          </w:tblCellMar>
        </w:tblPrEx>
        <w:tc>
          <w:tcPr>
            <w:tcW w:w="2400" w:type="dxa"/>
            <w:shd w:val="clear" w:color="auto" w:fill="F5F5F5"/>
          </w:tcPr>
          <w:p w14:paraId="703CB397" w14:textId="77777777" w:rsidR="00E63614" w:rsidRDefault="00000000">
            <w:pPr>
              <w:spacing w:before="40" w:after="40"/>
            </w:pPr>
            <w:r>
              <w:rPr>
                <w:sz w:val="20"/>
                <w:szCs w:val="20"/>
              </w:rPr>
              <w:t>dccb1 (b)</w:t>
            </w:r>
          </w:p>
        </w:tc>
        <w:tc>
          <w:tcPr>
            <w:tcW w:w="1200" w:type="dxa"/>
            <w:shd w:val="clear" w:color="auto" w:fill="F5F5F5"/>
          </w:tcPr>
          <w:p w14:paraId="63C29EC4" w14:textId="77777777" w:rsidR="00E63614" w:rsidRDefault="00000000">
            <w:pPr>
              <w:spacing w:before="40" w:after="40"/>
              <w:jc w:val="center"/>
            </w:pPr>
            <w:r>
              <w:rPr>
                <w:sz w:val="20"/>
                <w:szCs w:val="20"/>
              </w:rPr>
              <w:t>0.9591</w:t>
            </w:r>
          </w:p>
        </w:tc>
        <w:tc>
          <w:tcPr>
            <w:tcW w:w="1400" w:type="dxa"/>
            <w:shd w:val="clear" w:color="auto" w:fill="F5F5F5"/>
          </w:tcPr>
          <w:p w14:paraId="3C51A93C" w14:textId="77777777" w:rsidR="00E63614" w:rsidRDefault="00000000">
            <w:pPr>
              <w:spacing w:before="40" w:after="40"/>
              <w:jc w:val="center"/>
            </w:pPr>
            <w:r>
              <w:rPr>
                <w:sz w:val="20"/>
                <w:szCs w:val="20"/>
              </w:rPr>
              <w:t>0.0024</w:t>
            </w:r>
          </w:p>
        </w:tc>
        <w:tc>
          <w:tcPr>
            <w:tcW w:w="1400" w:type="dxa"/>
            <w:shd w:val="clear" w:color="auto" w:fill="F5F5F5"/>
          </w:tcPr>
          <w:p w14:paraId="23D62915" w14:textId="77777777" w:rsidR="00E63614" w:rsidRDefault="00000000">
            <w:pPr>
              <w:spacing w:before="40" w:after="40"/>
              <w:jc w:val="center"/>
            </w:pPr>
            <w:r>
              <w:rPr>
                <w:sz w:val="20"/>
                <w:szCs w:val="20"/>
              </w:rPr>
              <w:t>400.78</w:t>
            </w:r>
          </w:p>
        </w:tc>
        <w:tc>
          <w:tcPr>
            <w:tcW w:w="1000" w:type="dxa"/>
            <w:shd w:val="clear" w:color="auto" w:fill="F5F5F5"/>
          </w:tcPr>
          <w:p w14:paraId="69F2CCA3" w14:textId="77777777" w:rsidR="00E63614" w:rsidRDefault="00000000">
            <w:pPr>
              <w:spacing w:before="40" w:after="40"/>
              <w:jc w:val="center"/>
            </w:pPr>
            <w:r>
              <w:rPr>
                <w:sz w:val="20"/>
                <w:szCs w:val="20"/>
              </w:rPr>
              <w:t>&lt; 0.001</w:t>
            </w:r>
          </w:p>
        </w:tc>
      </w:tr>
      <w:tr w:rsidR="00E63614" w14:paraId="379E61DA" w14:textId="77777777">
        <w:tblPrEx>
          <w:tblCellMar>
            <w:top w:w="0" w:type="dxa"/>
            <w:bottom w:w="0" w:type="dxa"/>
          </w:tblCellMar>
        </w:tblPrEx>
        <w:tc>
          <w:tcPr>
            <w:tcW w:w="2400" w:type="dxa"/>
          </w:tcPr>
          <w:p w14:paraId="2A46FDDD" w14:textId="77777777" w:rsidR="00E63614" w:rsidRDefault="00000000">
            <w:pPr>
              <w:spacing w:before="40" w:after="40"/>
            </w:pPr>
            <w:r>
              <w:rPr>
                <w:sz w:val="20"/>
                <w:szCs w:val="20"/>
              </w:rPr>
              <w:t>a + b</w:t>
            </w:r>
          </w:p>
        </w:tc>
        <w:tc>
          <w:tcPr>
            <w:tcW w:w="1200" w:type="dxa"/>
          </w:tcPr>
          <w:p w14:paraId="0085D178" w14:textId="77777777" w:rsidR="00E63614" w:rsidRDefault="00000000">
            <w:pPr>
              <w:spacing w:before="40" w:after="40"/>
              <w:jc w:val="center"/>
            </w:pPr>
            <w:r>
              <w:rPr>
                <w:sz w:val="20"/>
                <w:szCs w:val="20"/>
              </w:rPr>
              <w:t>0.9939</w:t>
            </w:r>
          </w:p>
        </w:tc>
        <w:tc>
          <w:tcPr>
            <w:tcW w:w="1400" w:type="dxa"/>
          </w:tcPr>
          <w:p w14:paraId="28C19554" w14:textId="77777777" w:rsidR="00E63614" w:rsidRDefault="00000000">
            <w:pPr>
              <w:spacing w:before="40" w:after="40"/>
              <w:jc w:val="center"/>
            </w:pPr>
            <w:r>
              <w:rPr>
                <w:sz w:val="20"/>
                <w:szCs w:val="20"/>
              </w:rPr>
              <w:t>—</w:t>
            </w:r>
          </w:p>
        </w:tc>
        <w:tc>
          <w:tcPr>
            <w:tcW w:w="1400" w:type="dxa"/>
          </w:tcPr>
          <w:p w14:paraId="258A7BDA" w14:textId="77777777" w:rsidR="00E63614" w:rsidRDefault="00000000">
            <w:pPr>
              <w:spacing w:before="40" w:after="40"/>
              <w:jc w:val="center"/>
            </w:pPr>
            <w:r>
              <w:rPr>
                <w:sz w:val="20"/>
                <w:szCs w:val="20"/>
              </w:rPr>
              <w:t>—</w:t>
            </w:r>
          </w:p>
        </w:tc>
        <w:tc>
          <w:tcPr>
            <w:tcW w:w="1000" w:type="dxa"/>
          </w:tcPr>
          <w:p w14:paraId="4CBE3259" w14:textId="77777777" w:rsidR="00E63614" w:rsidRDefault="00000000">
            <w:pPr>
              <w:spacing w:before="40" w:after="40"/>
              <w:jc w:val="center"/>
            </w:pPr>
            <w:r>
              <w:rPr>
                <w:sz w:val="20"/>
                <w:szCs w:val="20"/>
              </w:rPr>
              <w:t>—</w:t>
            </w:r>
          </w:p>
        </w:tc>
      </w:tr>
      <w:tr w:rsidR="00E63614" w14:paraId="500564EC" w14:textId="77777777">
        <w:tblPrEx>
          <w:tblCellMar>
            <w:top w:w="0" w:type="dxa"/>
            <w:bottom w:w="0" w:type="dxa"/>
          </w:tblCellMar>
        </w:tblPrEx>
        <w:tc>
          <w:tcPr>
            <w:tcW w:w="2400" w:type="dxa"/>
            <w:shd w:val="clear" w:color="auto" w:fill="F5F5F5"/>
          </w:tcPr>
          <w:p w14:paraId="521CBE5D" w14:textId="77777777" w:rsidR="00E63614" w:rsidRDefault="00000000">
            <w:pPr>
              <w:spacing w:before="40" w:after="40"/>
            </w:pPr>
            <w:r>
              <w:rPr>
                <w:sz w:val="20"/>
                <w:szCs w:val="20"/>
              </w:rPr>
              <w:t>Joint shape (ν)</w:t>
            </w:r>
          </w:p>
        </w:tc>
        <w:tc>
          <w:tcPr>
            <w:tcW w:w="1200" w:type="dxa"/>
            <w:shd w:val="clear" w:color="auto" w:fill="F5F5F5"/>
          </w:tcPr>
          <w:p w14:paraId="33BFCB48" w14:textId="77777777" w:rsidR="00E63614" w:rsidRDefault="00000000">
            <w:pPr>
              <w:spacing w:before="40" w:after="40"/>
              <w:jc w:val="center"/>
            </w:pPr>
            <w:r>
              <w:rPr>
                <w:sz w:val="20"/>
                <w:szCs w:val="20"/>
              </w:rPr>
              <w:t>4.000</w:t>
            </w:r>
          </w:p>
        </w:tc>
        <w:tc>
          <w:tcPr>
            <w:tcW w:w="1400" w:type="dxa"/>
            <w:shd w:val="clear" w:color="auto" w:fill="F5F5F5"/>
          </w:tcPr>
          <w:p w14:paraId="5FE6464C" w14:textId="77777777" w:rsidR="00E63614" w:rsidRDefault="00000000">
            <w:pPr>
              <w:spacing w:before="40" w:after="40"/>
              <w:jc w:val="center"/>
            </w:pPr>
            <w:r>
              <w:rPr>
                <w:sz w:val="20"/>
                <w:szCs w:val="20"/>
              </w:rPr>
              <w:t>0.6597</w:t>
            </w:r>
          </w:p>
        </w:tc>
        <w:tc>
          <w:tcPr>
            <w:tcW w:w="1400" w:type="dxa"/>
            <w:shd w:val="clear" w:color="auto" w:fill="F5F5F5"/>
          </w:tcPr>
          <w:p w14:paraId="2023B3D8" w14:textId="77777777" w:rsidR="00E63614" w:rsidRDefault="00000000">
            <w:pPr>
              <w:spacing w:before="40" w:after="40"/>
              <w:jc w:val="center"/>
            </w:pPr>
            <w:r>
              <w:rPr>
                <w:sz w:val="20"/>
                <w:szCs w:val="20"/>
              </w:rPr>
              <w:t>6.06</w:t>
            </w:r>
          </w:p>
        </w:tc>
        <w:tc>
          <w:tcPr>
            <w:tcW w:w="1000" w:type="dxa"/>
            <w:shd w:val="clear" w:color="auto" w:fill="F5F5F5"/>
          </w:tcPr>
          <w:p w14:paraId="14B71DF8" w14:textId="77777777" w:rsidR="00E63614" w:rsidRDefault="00000000">
            <w:pPr>
              <w:spacing w:before="40" w:after="40"/>
              <w:jc w:val="center"/>
            </w:pPr>
            <w:r>
              <w:rPr>
                <w:sz w:val="20"/>
                <w:szCs w:val="20"/>
              </w:rPr>
              <w:t>&lt; 0.001</w:t>
            </w:r>
          </w:p>
        </w:tc>
      </w:tr>
      <w:tr w:rsidR="00E63614" w14:paraId="710E794E" w14:textId="77777777">
        <w:tblPrEx>
          <w:tblCellMar>
            <w:top w:w="0" w:type="dxa"/>
            <w:bottom w:w="0" w:type="dxa"/>
          </w:tblCellMar>
        </w:tblPrEx>
        <w:tc>
          <w:tcPr>
            <w:tcW w:w="2400" w:type="dxa"/>
          </w:tcPr>
          <w:p w14:paraId="79FD838E" w14:textId="77777777" w:rsidR="00E63614" w:rsidRDefault="00000000">
            <w:pPr>
              <w:spacing w:before="40" w:after="40"/>
            </w:pPr>
            <w:r>
              <w:rPr>
                <w:sz w:val="20"/>
                <w:szCs w:val="20"/>
              </w:rPr>
              <w:t>Log-Likelihood</w:t>
            </w:r>
          </w:p>
        </w:tc>
        <w:tc>
          <w:tcPr>
            <w:tcW w:w="1200" w:type="dxa"/>
          </w:tcPr>
          <w:p w14:paraId="0DACC5EA" w14:textId="77777777" w:rsidR="00E63614" w:rsidRDefault="00000000">
            <w:pPr>
              <w:spacing w:before="40" w:after="40"/>
              <w:jc w:val="center"/>
            </w:pPr>
            <w:r>
              <w:rPr>
                <w:sz w:val="20"/>
                <w:szCs w:val="20"/>
              </w:rPr>
              <w:t>-6610.92</w:t>
            </w:r>
          </w:p>
        </w:tc>
        <w:tc>
          <w:tcPr>
            <w:tcW w:w="1400" w:type="dxa"/>
          </w:tcPr>
          <w:p w14:paraId="38316811" w14:textId="77777777" w:rsidR="00E63614" w:rsidRDefault="00000000">
            <w:pPr>
              <w:spacing w:before="40" w:after="40"/>
              <w:jc w:val="center"/>
            </w:pPr>
            <w:r>
              <w:rPr>
                <w:sz w:val="20"/>
                <w:szCs w:val="20"/>
              </w:rPr>
              <w:t>—</w:t>
            </w:r>
          </w:p>
        </w:tc>
        <w:tc>
          <w:tcPr>
            <w:tcW w:w="1400" w:type="dxa"/>
          </w:tcPr>
          <w:p w14:paraId="5A7227A5" w14:textId="77777777" w:rsidR="00E63614" w:rsidRDefault="00000000">
            <w:pPr>
              <w:spacing w:before="40" w:after="40"/>
              <w:jc w:val="center"/>
            </w:pPr>
            <w:r>
              <w:rPr>
                <w:sz w:val="20"/>
                <w:szCs w:val="20"/>
              </w:rPr>
              <w:t>—</w:t>
            </w:r>
          </w:p>
        </w:tc>
        <w:tc>
          <w:tcPr>
            <w:tcW w:w="1000" w:type="dxa"/>
          </w:tcPr>
          <w:p w14:paraId="6867CC1E" w14:textId="77777777" w:rsidR="00E63614" w:rsidRDefault="00000000">
            <w:pPr>
              <w:spacing w:before="40" w:after="40"/>
              <w:jc w:val="center"/>
            </w:pPr>
            <w:r>
              <w:rPr>
                <w:sz w:val="20"/>
                <w:szCs w:val="20"/>
              </w:rPr>
              <w:t>—</w:t>
            </w:r>
          </w:p>
        </w:tc>
      </w:tr>
      <w:tr w:rsidR="00E63614" w14:paraId="11D99F7F" w14:textId="77777777">
        <w:tblPrEx>
          <w:tblCellMar>
            <w:top w:w="0" w:type="dxa"/>
            <w:bottom w:w="0" w:type="dxa"/>
          </w:tblCellMar>
        </w:tblPrEx>
        <w:tc>
          <w:tcPr>
            <w:tcW w:w="2400" w:type="dxa"/>
            <w:shd w:val="clear" w:color="auto" w:fill="F5F5F5"/>
          </w:tcPr>
          <w:p w14:paraId="5350A071" w14:textId="77777777" w:rsidR="00E63614" w:rsidRDefault="00000000">
            <w:pPr>
              <w:spacing w:before="40" w:after="40"/>
            </w:pPr>
            <w:r>
              <w:rPr>
                <w:sz w:val="20"/>
                <w:szCs w:val="20"/>
              </w:rPr>
              <w:t>AIC</w:t>
            </w:r>
          </w:p>
        </w:tc>
        <w:tc>
          <w:tcPr>
            <w:tcW w:w="1200" w:type="dxa"/>
            <w:shd w:val="clear" w:color="auto" w:fill="F5F5F5"/>
          </w:tcPr>
          <w:p w14:paraId="5727F9AC" w14:textId="77777777" w:rsidR="00E63614" w:rsidRDefault="00000000">
            <w:pPr>
              <w:spacing w:before="40" w:after="40"/>
              <w:jc w:val="center"/>
            </w:pPr>
            <w:r>
              <w:rPr>
                <w:sz w:val="20"/>
                <w:szCs w:val="20"/>
              </w:rPr>
              <w:t>6.009</w:t>
            </w:r>
          </w:p>
        </w:tc>
        <w:tc>
          <w:tcPr>
            <w:tcW w:w="1400" w:type="dxa"/>
            <w:shd w:val="clear" w:color="auto" w:fill="F5F5F5"/>
          </w:tcPr>
          <w:p w14:paraId="33A22788" w14:textId="77777777" w:rsidR="00E63614" w:rsidRDefault="00000000">
            <w:pPr>
              <w:spacing w:before="40" w:after="40"/>
              <w:jc w:val="center"/>
            </w:pPr>
            <w:r>
              <w:rPr>
                <w:sz w:val="20"/>
                <w:szCs w:val="20"/>
              </w:rPr>
              <w:t>—</w:t>
            </w:r>
          </w:p>
        </w:tc>
        <w:tc>
          <w:tcPr>
            <w:tcW w:w="1400" w:type="dxa"/>
            <w:shd w:val="clear" w:color="auto" w:fill="F5F5F5"/>
          </w:tcPr>
          <w:p w14:paraId="6ED36365" w14:textId="77777777" w:rsidR="00E63614" w:rsidRDefault="00000000">
            <w:pPr>
              <w:spacing w:before="40" w:after="40"/>
              <w:jc w:val="center"/>
            </w:pPr>
            <w:r>
              <w:rPr>
                <w:sz w:val="20"/>
                <w:szCs w:val="20"/>
              </w:rPr>
              <w:t>—</w:t>
            </w:r>
          </w:p>
        </w:tc>
        <w:tc>
          <w:tcPr>
            <w:tcW w:w="1000" w:type="dxa"/>
            <w:shd w:val="clear" w:color="auto" w:fill="F5F5F5"/>
          </w:tcPr>
          <w:p w14:paraId="3E991579" w14:textId="77777777" w:rsidR="00E63614" w:rsidRDefault="00000000">
            <w:pPr>
              <w:spacing w:before="40" w:after="40"/>
              <w:jc w:val="center"/>
            </w:pPr>
            <w:r>
              <w:rPr>
                <w:sz w:val="20"/>
                <w:szCs w:val="20"/>
              </w:rPr>
              <w:t>—</w:t>
            </w:r>
          </w:p>
        </w:tc>
      </w:tr>
      <w:tr w:rsidR="00E63614" w14:paraId="0E62FD9A" w14:textId="77777777">
        <w:tblPrEx>
          <w:tblCellMar>
            <w:top w:w="0" w:type="dxa"/>
            <w:bottom w:w="0" w:type="dxa"/>
          </w:tblCellMar>
        </w:tblPrEx>
        <w:tc>
          <w:tcPr>
            <w:tcW w:w="2400" w:type="dxa"/>
          </w:tcPr>
          <w:p w14:paraId="64C88B20" w14:textId="77777777" w:rsidR="00E63614" w:rsidRDefault="00000000">
            <w:pPr>
              <w:spacing w:before="40" w:after="40"/>
            </w:pPr>
            <w:r>
              <w:rPr>
                <w:sz w:val="20"/>
                <w:szCs w:val="20"/>
              </w:rPr>
              <w:t>BIC</w:t>
            </w:r>
          </w:p>
        </w:tc>
        <w:tc>
          <w:tcPr>
            <w:tcW w:w="1200" w:type="dxa"/>
          </w:tcPr>
          <w:p w14:paraId="7C8E291B" w14:textId="77777777" w:rsidR="00E63614" w:rsidRDefault="00000000">
            <w:pPr>
              <w:spacing w:before="40" w:after="40"/>
              <w:jc w:val="center"/>
            </w:pPr>
            <w:r>
              <w:rPr>
                <w:sz w:val="20"/>
                <w:szCs w:val="20"/>
              </w:rPr>
              <w:t>6.084</w:t>
            </w:r>
          </w:p>
        </w:tc>
        <w:tc>
          <w:tcPr>
            <w:tcW w:w="1400" w:type="dxa"/>
          </w:tcPr>
          <w:p w14:paraId="74CBF2E2" w14:textId="77777777" w:rsidR="00E63614" w:rsidRDefault="00000000">
            <w:pPr>
              <w:spacing w:before="40" w:after="40"/>
              <w:jc w:val="center"/>
            </w:pPr>
            <w:r>
              <w:rPr>
                <w:sz w:val="20"/>
                <w:szCs w:val="20"/>
              </w:rPr>
              <w:t>—</w:t>
            </w:r>
          </w:p>
        </w:tc>
        <w:tc>
          <w:tcPr>
            <w:tcW w:w="1400" w:type="dxa"/>
          </w:tcPr>
          <w:p w14:paraId="4F31AE87" w14:textId="77777777" w:rsidR="00E63614" w:rsidRDefault="00000000">
            <w:pPr>
              <w:spacing w:before="40" w:after="40"/>
              <w:jc w:val="center"/>
            </w:pPr>
            <w:r>
              <w:rPr>
                <w:sz w:val="20"/>
                <w:szCs w:val="20"/>
              </w:rPr>
              <w:t>—</w:t>
            </w:r>
          </w:p>
        </w:tc>
        <w:tc>
          <w:tcPr>
            <w:tcW w:w="1000" w:type="dxa"/>
          </w:tcPr>
          <w:p w14:paraId="40015692" w14:textId="77777777" w:rsidR="00E63614" w:rsidRDefault="00000000">
            <w:pPr>
              <w:spacing w:before="40" w:after="40"/>
              <w:jc w:val="center"/>
            </w:pPr>
            <w:r>
              <w:rPr>
                <w:sz w:val="20"/>
                <w:szCs w:val="20"/>
              </w:rPr>
              <w:t>—</w:t>
            </w:r>
          </w:p>
        </w:tc>
      </w:tr>
    </w:tbl>
    <w:p w14:paraId="06A7B944" w14:textId="77777777" w:rsidR="00E63614" w:rsidRDefault="00000000">
      <w:pPr>
        <w:spacing w:before="60" w:after="120"/>
      </w:pPr>
      <w:r>
        <w:rPr>
          <w:b/>
          <w:bCs/>
          <w:i/>
          <w:iCs/>
          <w:sz w:val="18"/>
          <w:szCs w:val="18"/>
        </w:rPr>
        <w:t xml:space="preserve">Note: </w:t>
      </w:r>
      <w:r>
        <w:rPr>
          <w:i/>
          <w:iCs/>
          <w:sz w:val="18"/>
          <w:szCs w:val="18"/>
        </w:rPr>
        <w:t>dcca1 and dccb1 are the DCC shock and persistence parameters. a + b &lt; 1 confirms mean-reversion of dynamic correlations. Joint shape parameter refers to the multivariate Student-t degrees of freedom.</w:t>
      </w:r>
    </w:p>
    <w:p w14:paraId="6B7B21A5" w14:textId="77777777" w:rsidR="00E63614" w:rsidRDefault="00E63614"/>
    <w:p w14:paraId="6DC69CC4" w14:textId="77777777" w:rsidR="00E63614" w:rsidRDefault="00000000">
      <w:pPr>
        <w:spacing w:before="80" w:after="80"/>
        <w:jc w:val="both"/>
      </w:pPr>
      <w:r>
        <w:t xml:space="preserve">Both DCC parameters are highly significant at the 0.1% level. The parameter a = 0.035 governs the speed at which correlations adjust to new information, while b = 0.959 measures the persistence of correlation dynamics. The sum a + b = 0.994 indicates near-unit-root </w:t>
      </w:r>
      <w:proofErr w:type="spellStart"/>
      <w:r>
        <w:t>behaviour</w:t>
      </w:r>
      <w:proofErr w:type="spellEnd"/>
      <w:r>
        <w:t xml:space="preserve"> in the correlation process — correlations are highly persistent but mean-reverting. This is consistent with the literature on global commodity markets, which typically finds that cross-market correlations evolve slowly and are disrupted only by major structural events.</w:t>
      </w:r>
    </w:p>
    <w:p w14:paraId="777905B5" w14:textId="77777777" w:rsidR="00E63614" w:rsidRDefault="00000000">
      <w:pPr>
        <w:spacing w:before="80" w:after="80"/>
        <w:jc w:val="both"/>
      </w:pPr>
      <w:r>
        <w:t>Table 5 presents the mean dynamic conditional correlations across all six market pairs over the full sample period.</w:t>
      </w:r>
    </w:p>
    <w:p w14:paraId="56C5E85B" w14:textId="77777777" w:rsidR="00733AB7" w:rsidRDefault="00733AB7">
      <w:pPr>
        <w:spacing w:before="80" w:after="80"/>
        <w:jc w:val="both"/>
      </w:pPr>
    </w:p>
    <w:p w14:paraId="38D5D23C" w14:textId="77777777" w:rsidR="00733AB7" w:rsidRDefault="00733AB7">
      <w:pPr>
        <w:spacing w:before="80" w:after="80"/>
        <w:jc w:val="both"/>
      </w:pPr>
    </w:p>
    <w:p w14:paraId="591870CA" w14:textId="77777777" w:rsidR="00733AB7" w:rsidRDefault="00733AB7">
      <w:pPr>
        <w:spacing w:before="80" w:after="80"/>
        <w:jc w:val="both"/>
      </w:pPr>
    </w:p>
    <w:p w14:paraId="72D165FE" w14:textId="77777777" w:rsidR="00733AB7" w:rsidRDefault="00733AB7">
      <w:pPr>
        <w:spacing w:before="80" w:after="80"/>
        <w:jc w:val="both"/>
      </w:pPr>
    </w:p>
    <w:p w14:paraId="27CC10AD" w14:textId="77777777" w:rsidR="00733AB7" w:rsidRDefault="00733AB7">
      <w:pPr>
        <w:spacing w:before="80" w:after="80"/>
        <w:jc w:val="both"/>
      </w:pPr>
    </w:p>
    <w:p w14:paraId="78DCF05B" w14:textId="77777777" w:rsidR="00E63614" w:rsidRDefault="00E63614"/>
    <w:p w14:paraId="4EFDB9C9" w14:textId="77777777" w:rsidR="00E63614" w:rsidRDefault="00000000">
      <w:pPr>
        <w:spacing w:before="200" w:after="60"/>
        <w:jc w:val="center"/>
      </w:pPr>
      <w:r>
        <w:rPr>
          <w:b/>
          <w:bCs/>
          <w:sz w:val="22"/>
          <w:szCs w:val="22"/>
        </w:rPr>
        <w:lastRenderedPageBreak/>
        <w:t>Table 5: Mean Dynamic Conditional Correlations (2015–2024)</w:t>
      </w:r>
    </w:p>
    <w:tbl>
      <w:tblPr>
        <w:tblW w:w="70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800"/>
      </w:tblGrid>
      <w:tr w:rsidR="00E63614" w14:paraId="4521C3E2" w14:textId="77777777">
        <w:tblPrEx>
          <w:tblCellMar>
            <w:top w:w="0" w:type="dxa"/>
            <w:bottom w:w="0" w:type="dxa"/>
          </w:tblCellMar>
        </w:tblPrEx>
        <w:trPr>
          <w:tblHeader/>
        </w:trPr>
        <w:tc>
          <w:tcPr>
            <w:tcW w:w="3000" w:type="dxa"/>
            <w:shd w:val="clear" w:color="auto" w:fill="D9D9D9"/>
          </w:tcPr>
          <w:p w14:paraId="76CD2F0E" w14:textId="77777777" w:rsidR="00E63614" w:rsidRDefault="00000000">
            <w:pPr>
              <w:spacing w:before="40" w:after="40"/>
              <w:jc w:val="center"/>
            </w:pPr>
            <w:r>
              <w:rPr>
                <w:b/>
                <w:bCs/>
                <w:sz w:val="20"/>
                <w:szCs w:val="20"/>
              </w:rPr>
              <w:t>Market Pair</w:t>
            </w:r>
          </w:p>
        </w:tc>
        <w:tc>
          <w:tcPr>
            <w:tcW w:w="1200" w:type="dxa"/>
            <w:shd w:val="clear" w:color="auto" w:fill="D9D9D9"/>
          </w:tcPr>
          <w:p w14:paraId="38932086" w14:textId="77777777" w:rsidR="00E63614" w:rsidRDefault="00000000">
            <w:pPr>
              <w:spacing w:before="40" w:after="40"/>
              <w:jc w:val="center"/>
            </w:pPr>
            <w:r>
              <w:rPr>
                <w:b/>
                <w:bCs/>
                <w:sz w:val="20"/>
                <w:szCs w:val="20"/>
              </w:rPr>
              <w:t>Mean DCC</w:t>
            </w:r>
          </w:p>
        </w:tc>
        <w:tc>
          <w:tcPr>
            <w:tcW w:w="2800" w:type="dxa"/>
            <w:shd w:val="clear" w:color="auto" w:fill="D9D9D9"/>
          </w:tcPr>
          <w:p w14:paraId="7F539901" w14:textId="77777777" w:rsidR="00E63614" w:rsidRDefault="00000000">
            <w:pPr>
              <w:spacing w:before="40" w:after="40"/>
              <w:jc w:val="center"/>
            </w:pPr>
            <w:r>
              <w:rPr>
                <w:b/>
                <w:bCs/>
                <w:sz w:val="20"/>
                <w:szCs w:val="20"/>
              </w:rPr>
              <w:t>Interpretation</w:t>
            </w:r>
          </w:p>
        </w:tc>
      </w:tr>
      <w:tr w:rsidR="00E63614" w14:paraId="5C4BC970" w14:textId="77777777">
        <w:tblPrEx>
          <w:tblCellMar>
            <w:top w:w="0" w:type="dxa"/>
            <w:bottom w:w="0" w:type="dxa"/>
          </w:tblCellMar>
        </w:tblPrEx>
        <w:tc>
          <w:tcPr>
            <w:tcW w:w="3000" w:type="dxa"/>
          </w:tcPr>
          <w:p w14:paraId="3B648D25" w14:textId="77777777" w:rsidR="00E63614" w:rsidRDefault="00000000">
            <w:pPr>
              <w:spacing w:before="40" w:after="40"/>
            </w:pPr>
            <w:r>
              <w:rPr>
                <w:sz w:val="20"/>
                <w:szCs w:val="20"/>
              </w:rPr>
              <w:t>COMEX Gold — Pakistan Gold</w:t>
            </w:r>
          </w:p>
        </w:tc>
        <w:tc>
          <w:tcPr>
            <w:tcW w:w="1200" w:type="dxa"/>
          </w:tcPr>
          <w:p w14:paraId="1B878854" w14:textId="77777777" w:rsidR="00E63614" w:rsidRDefault="00000000">
            <w:pPr>
              <w:spacing w:before="40" w:after="40"/>
              <w:jc w:val="center"/>
            </w:pPr>
            <w:r>
              <w:rPr>
                <w:sz w:val="20"/>
                <w:szCs w:val="20"/>
              </w:rPr>
              <w:t>0.7468</w:t>
            </w:r>
          </w:p>
        </w:tc>
        <w:tc>
          <w:tcPr>
            <w:tcW w:w="2800" w:type="dxa"/>
          </w:tcPr>
          <w:p w14:paraId="3985C7B9" w14:textId="77777777" w:rsidR="00E63614" w:rsidRDefault="00000000">
            <w:pPr>
              <w:spacing w:before="40" w:after="40"/>
              <w:jc w:val="center"/>
            </w:pPr>
            <w:r>
              <w:rPr>
                <w:sz w:val="20"/>
                <w:szCs w:val="20"/>
              </w:rPr>
              <w:t>Strong cross-market linkage</w:t>
            </w:r>
          </w:p>
        </w:tc>
      </w:tr>
      <w:tr w:rsidR="00E63614" w14:paraId="49541005" w14:textId="77777777">
        <w:tblPrEx>
          <w:tblCellMar>
            <w:top w:w="0" w:type="dxa"/>
            <w:bottom w:w="0" w:type="dxa"/>
          </w:tblCellMar>
        </w:tblPrEx>
        <w:tc>
          <w:tcPr>
            <w:tcW w:w="3000" w:type="dxa"/>
            <w:shd w:val="clear" w:color="auto" w:fill="F5F5F5"/>
          </w:tcPr>
          <w:p w14:paraId="627BC798" w14:textId="77777777" w:rsidR="00E63614" w:rsidRDefault="00000000">
            <w:pPr>
              <w:spacing w:before="40" w:after="40"/>
            </w:pPr>
            <w:r>
              <w:rPr>
                <w:sz w:val="20"/>
                <w:szCs w:val="20"/>
              </w:rPr>
              <w:t>COMEX Silver — Pakistan Silver</w:t>
            </w:r>
          </w:p>
        </w:tc>
        <w:tc>
          <w:tcPr>
            <w:tcW w:w="1200" w:type="dxa"/>
            <w:shd w:val="clear" w:color="auto" w:fill="F5F5F5"/>
          </w:tcPr>
          <w:p w14:paraId="41A5005D" w14:textId="77777777" w:rsidR="00E63614" w:rsidRDefault="00000000">
            <w:pPr>
              <w:spacing w:before="40" w:after="40"/>
              <w:jc w:val="center"/>
            </w:pPr>
            <w:r>
              <w:rPr>
                <w:sz w:val="20"/>
                <w:szCs w:val="20"/>
              </w:rPr>
              <w:t>0.8813</w:t>
            </w:r>
          </w:p>
        </w:tc>
        <w:tc>
          <w:tcPr>
            <w:tcW w:w="2800" w:type="dxa"/>
            <w:shd w:val="clear" w:color="auto" w:fill="F5F5F5"/>
          </w:tcPr>
          <w:p w14:paraId="720BCA12" w14:textId="77777777" w:rsidR="00E63614" w:rsidRDefault="00000000">
            <w:pPr>
              <w:spacing w:before="40" w:after="40"/>
              <w:jc w:val="center"/>
            </w:pPr>
            <w:r>
              <w:rPr>
                <w:sz w:val="20"/>
                <w:szCs w:val="20"/>
              </w:rPr>
              <w:t>Very strong cross-market linkage</w:t>
            </w:r>
          </w:p>
        </w:tc>
      </w:tr>
      <w:tr w:rsidR="00E63614" w14:paraId="777CAF91" w14:textId="77777777">
        <w:tblPrEx>
          <w:tblCellMar>
            <w:top w:w="0" w:type="dxa"/>
            <w:bottom w:w="0" w:type="dxa"/>
          </w:tblCellMar>
        </w:tblPrEx>
        <w:tc>
          <w:tcPr>
            <w:tcW w:w="3000" w:type="dxa"/>
          </w:tcPr>
          <w:p w14:paraId="38F776D8" w14:textId="77777777" w:rsidR="00E63614" w:rsidRDefault="00000000">
            <w:pPr>
              <w:spacing w:before="40" w:after="40"/>
            </w:pPr>
            <w:r>
              <w:rPr>
                <w:sz w:val="20"/>
                <w:szCs w:val="20"/>
              </w:rPr>
              <w:t>COMEX Gold — Pakistan Silver</w:t>
            </w:r>
          </w:p>
        </w:tc>
        <w:tc>
          <w:tcPr>
            <w:tcW w:w="1200" w:type="dxa"/>
          </w:tcPr>
          <w:p w14:paraId="08970CF2" w14:textId="77777777" w:rsidR="00E63614" w:rsidRDefault="00000000">
            <w:pPr>
              <w:spacing w:before="40" w:after="40"/>
              <w:jc w:val="center"/>
            </w:pPr>
            <w:r>
              <w:rPr>
                <w:sz w:val="20"/>
                <w:szCs w:val="20"/>
              </w:rPr>
              <w:t>0.7102</w:t>
            </w:r>
          </w:p>
        </w:tc>
        <w:tc>
          <w:tcPr>
            <w:tcW w:w="2800" w:type="dxa"/>
          </w:tcPr>
          <w:p w14:paraId="25D8568A" w14:textId="77777777" w:rsidR="00E63614" w:rsidRDefault="00000000">
            <w:pPr>
              <w:spacing w:before="40" w:after="40"/>
              <w:jc w:val="center"/>
            </w:pPr>
            <w:r>
              <w:rPr>
                <w:sz w:val="20"/>
                <w:szCs w:val="20"/>
              </w:rPr>
              <w:t>Cross-metal, cross-market</w:t>
            </w:r>
          </w:p>
        </w:tc>
      </w:tr>
      <w:tr w:rsidR="00E63614" w14:paraId="24E3FC8C" w14:textId="77777777">
        <w:tblPrEx>
          <w:tblCellMar>
            <w:top w:w="0" w:type="dxa"/>
            <w:bottom w:w="0" w:type="dxa"/>
          </w:tblCellMar>
        </w:tblPrEx>
        <w:tc>
          <w:tcPr>
            <w:tcW w:w="3000" w:type="dxa"/>
            <w:shd w:val="clear" w:color="auto" w:fill="F5F5F5"/>
          </w:tcPr>
          <w:p w14:paraId="056839CD" w14:textId="77777777" w:rsidR="00E63614" w:rsidRDefault="00000000">
            <w:pPr>
              <w:spacing w:before="40" w:after="40"/>
            </w:pPr>
            <w:r>
              <w:rPr>
                <w:sz w:val="20"/>
                <w:szCs w:val="20"/>
              </w:rPr>
              <w:t>COMEX Silver — Pakistan Gold</w:t>
            </w:r>
          </w:p>
        </w:tc>
        <w:tc>
          <w:tcPr>
            <w:tcW w:w="1200" w:type="dxa"/>
            <w:shd w:val="clear" w:color="auto" w:fill="F5F5F5"/>
          </w:tcPr>
          <w:p w14:paraId="0A7E2526" w14:textId="77777777" w:rsidR="00E63614" w:rsidRDefault="00000000">
            <w:pPr>
              <w:spacing w:before="40" w:after="40"/>
              <w:jc w:val="center"/>
            </w:pPr>
            <w:r>
              <w:rPr>
                <w:sz w:val="20"/>
                <w:szCs w:val="20"/>
              </w:rPr>
              <w:t>0.5798</w:t>
            </w:r>
          </w:p>
        </w:tc>
        <w:tc>
          <w:tcPr>
            <w:tcW w:w="2800" w:type="dxa"/>
            <w:shd w:val="clear" w:color="auto" w:fill="F5F5F5"/>
          </w:tcPr>
          <w:p w14:paraId="2463D4B5" w14:textId="77777777" w:rsidR="00E63614" w:rsidRDefault="00000000">
            <w:pPr>
              <w:spacing w:before="40" w:after="40"/>
              <w:jc w:val="center"/>
            </w:pPr>
            <w:r>
              <w:rPr>
                <w:sz w:val="20"/>
                <w:szCs w:val="20"/>
              </w:rPr>
              <w:t>Moderate cross-metal linkage</w:t>
            </w:r>
          </w:p>
        </w:tc>
      </w:tr>
      <w:tr w:rsidR="00E63614" w14:paraId="5BB2B8A0" w14:textId="77777777">
        <w:tblPrEx>
          <w:tblCellMar>
            <w:top w:w="0" w:type="dxa"/>
            <w:bottom w:w="0" w:type="dxa"/>
          </w:tblCellMar>
        </w:tblPrEx>
        <w:tc>
          <w:tcPr>
            <w:tcW w:w="3000" w:type="dxa"/>
          </w:tcPr>
          <w:p w14:paraId="595C43B3" w14:textId="77777777" w:rsidR="00E63614" w:rsidRDefault="00000000">
            <w:pPr>
              <w:spacing w:before="40" w:after="40"/>
            </w:pPr>
            <w:r>
              <w:rPr>
                <w:sz w:val="20"/>
                <w:szCs w:val="20"/>
              </w:rPr>
              <w:t>COMEX Gold — COMEX Silver</w:t>
            </w:r>
          </w:p>
        </w:tc>
        <w:tc>
          <w:tcPr>
            <w:tcW w:w="1200" w:type="dxa"/>
          </w:tcPr>
          <w:p w14:paraId="439E16C0" w14:textId="77777777" w:rsidR="00E63614" w:rsidRDefault="00000000">
            <w:pPr>
              <w:spacing w:before="40" w:after="40"/>
              <w:jc w:val="center"/>
            </w:pPr>
            <w:r>
              <w:rPr>
                <w:sz w:val="20"/>
                <w:szCs w:val="20"/>
              </w:rPr>
              <w:t>0.7960</w:t>
            </w:r>
          </w:p>
        </w:tc>
        <w:tc>
          <w:tcPr>
            <w:tcW w:w="2800" w:type="dxa"/>
          </w:tcPr>
          <w:p w14:paraId="22DB8CBB" w14:textId="77777777" w:rsidR="00E63614" w:rsidRDefault="00000000">
            <w:pPr>
              <w:spacing w:before="40" w:after="40"/>
              <w:jc w:val="center"/>
            </w:pPr>
            <w:r>
              <w:rPr>
                <w:sz w:val="20"/>
                <w:szCs w:val="20"/>
              </w:rPr>
              <w:t>Within-US market co-movement</w:t>
            </w:r>
          </w:p>
        </w:tc>
      </w:tr>
      <w:tr w:rsidR="00E63614" w14:paraId="3C2BCFB8" w14:textId="77777777">
        <w:tblPrEx>
          <w:tblCellMar>
            <w:top w:w="0" w:type="dxa"/>
            <w:bottom w:w="0" w:type="dxa"/>
          </w:tblCellMar>
        </w:tblPrEx>
        <w:tc>
          <w:tcPr>
            <w:tcW w:w="3000" w:type="dxa"/>
            <w:shd w:val="clear" w:color="auto" w:fill="F5F5F5"/>
          </w:tcPr>
          <w:p w14:paraId="7261B208" w14:textId="77777777" w:rsidR="00E63614" w:rsidRDefault="00000000">
            <w:pPr>
              <w:spacing w:before="40" w:after="40"/>
            </w:pPr>
            <w:r>
              <w:rPr>
                <w:sz w:val="20"/>
                <w:szCs w:val="20"/>
              </w:rPr>
              <w:t>Pakistan Gold — Pakistan Silver</w:t>
            </w:r>
          </w:p>
        </w:tc>
        <w:tc>
          <w:tcPr>
            <w:tcW w:w="1200" w:type="dxa"/>
            <w:shd w:val="clear" w:color="auto" w:fill="F5F5F5"/>
          </w:tcPr>
          <w:p w14:paraId="28F7C9EE" w14:textId="77777777" w:rsidR="00E63614" w:rsidRDefault="00000000">
            <w:pPr>
              <w:spacing w:before="40" w:after="40"/>
              <w:jc w:val="center"/>
            </w:pPr>
            <w:r>
              <w:rPr>
                <w:sz w:val="20"/>
                <w:szCs w:val="20"/>
              </w:rPr>
              <w:t>0.8202</w:t>
            </w:r>
          </w:p>
        </w:tc>
        <w:tc>
          <w:tcPr>
            <w:tcW w:w="2800" w:type="dxa"/>
            <w:shd w:val="clear" w:color="auto" w:fill="F5F5F5"/>
          </w:tcPr>
          <w:p w14:paraId="450A6E07" w14:textId="77777777" w:rsidR="00E63614" w:rsidRDefault="00000000">
            <w:pPr>
              <w:spacing w:before="40" w:after="40"/>
              <w:jc w:val="center"/>
            </w:pPr>
            <w:r>
              <w:rPr>
                <w:sz w:val="20"/>
                <w:szCs w:val="20"/>
              </w:rPr>
              <w:t>Within-Pakistan co-movement</w:t>
            </w:r>
          </w:p>
        </w:tc>
      </w:tr>
    </w:tbl>
    <w:p w14:paraId="77CCA320" w14:textId="77777777" w:rsidR="00E63614" w:rsidRDefault="00000000">
      <w:pPr>
        <w:spacing w:before="60" w:after="120"/>
      </w:pPr>
      <w:r>
        <w:rPr>
          <w:b/>
          <w:bCs/>
          <w:i/>
          <w:iCs/>
          <w:sz w:val="18"/>
          <w:szCs w:val="18"/>
        </w:rPr>
        <w:t xml:space="preserve">Note: </w:t>
      </w:r>
      <w:r>
        <w:rPr>
          <w:i/>
          <w:iCs/>
          <w:sz w:val="18"/>
          <w:szCs w:val="18"/>
        </w:rPr>
        <w:t>DCC estimates extracted from the 4×4 time-varying correlation matrix. Mean computed over 2,210 daily observations.</w:t>
      </w:r>
    </w:p>
    <w:p w14:paraId="009B084D" w14:textId="77777777" w:rsidR="00E63614" w:rsidRDefault="00E63614"/>
    <w:p w14:paraId="569A273F" w14:textId="77777777" w:rsidR="00E63614" w:rsidRDefault="00000000">
      <w:pPr>
        <w:spacing w:before="80" w:after="80"/>
        <w:jc w:val="both"/>
      </w:pPr>
      <w:r>
        <w:t>The results in Table 5 reveal several important patterns. The same-metal cross-market correlations are uniformly high — 0.747 for gold and 0.881 for silver — confirming strong integration between US and Pakistani precious metal markets. The COMEX Silver–Pakistan Silver pair exhibits the highest cross-market correlation in the dataset, exceeding even the within-Pakistan gold-silver co-movement (0.820). This finding suggests that Pakistani silver markets are more tightly coupled to international benchmarks than gold markets, potentially reflecting silver's greater sensitivity to global industrial demand cycles.</w:t>
      </w:r>
    </w:p>
    <w:p w14:paraId="72E07B58" w14:textId="77777777" w:rsidR="00E63614" w:rsidRDefault="00000000">
      <w:pPr>
        <w:spacing w:before="80" w:after="80"/>
        <w:jc w:val="both"/>
      </w:pPr>
      <w:r>
        <w:t>Cross-metal correlations are lower but non-trivial: COMEX Gold correlates at 0.710 with Pakistani Silver, while COMEX Silver correlates at 0.580 with Pakistani Gold. This asymmetry suggests that gold price signals transmit more broadly across both metals in Pakistan than silver price signals, consistent with gold's role as the primary precious metal reference in South Asian markets.</w:t>
      </w:r>
    </w:p>
    <w:p w14:paraId="28E8D402" w14:textId="77777777" w:rsidR="00E63614" w:rsidRDefault="00000000">
      <w:pPr>
        <w:spacing w:before="80" w:after="80"/>
        <w:jc w:val="both"/>
      </w:pPr>
      <w:r>
        <w:t xml:space="preserve">The time-varying nature of these correlations is illustrated in Figure 1. Both cross-market pairs (gold and silver) exhibit a pronounced dip during 2018 and again during the COVID-19 shock of 2020, followed by strong recovery and near-peak correlations in the post-2022 period. This pattern is consistent with flight-to-safety </w:t>
      </w:r>
      <w:proofErr w:type="spellStart"/>
      <w:r>
        <w:t>behaviour</w:t>
      </w:r>
      <w:proofErr w:type="spellEnd"/>
      <w:r>
        <w:t xml:space="preserve"> during global uncertainty, where Pakistani investors may substitute between gold and currency hedges independently of international price signals, temporarily weakening the cross-market relationship before </w:t>
      </w:r>
      <w:proofErr w:type="spellStart"/>
      <w:r>
        <w:t>normalisation</w:t>
      </w:r>
      <w:proofErr w:type="spellEnd"/>
      <w:r>
        <w:t xml:space="preserve"> occurs.</w:t>
      </w:r>
    </w:p>
    <w:p w14:paraId="0D70B4BB" w14:textId="77777777" w:rsidR="00733AB7" w:rsidRDefault="00733AB7">
      <w:pPr>
        <w:spacing w:before="80" w:after="80"/>
        <w:jc w:val="both"/>
      </w:pPr>
    </w:p>
    <w:p w14:paraId="11B3C2D9" w14:textId="77777777" w:rsidR="00733AB7" w:rsidRDefault="00733AB7">
      <w:pPr>
        <w:spacing w:before="80" w:after="80"/>
        <w:jc w:val="both"/>
      </w:pPr>
    </w:p>
    <w:p w14:paraId="0B13B3CC" w14:textId="31B1FCEA" w:rsidR="00733AB7" w:rsidRDefault="00733AB7">
      <w:pPr>
        <w:spacing w:before="60" w:after="120"/>
        <w:jc w:val="center"/>
        <w:rPr>
          <w:i/>
          <w:iCs/>
          <w:color w:val="888888"/>
          <w:sz w:val="20"/>
          <w:szCs w:val="20"/>
        </w:rPr>
      </w:pPr>
      <w:r>
        <w:rPr>
          <w:i/>
          <w:iCs/>
          <w:noProof/>
          <w:color w:val="888888"/>
          <w:sz w:val="20"/>
          <w:szCs w:val="20"/>
        </w:rPr>
        <w:lastRenderedPageBreak/>
        <w:drawing>
          <wp:anchor distT="0" distB="0" distL="114300" distR="114300" simplePos="0" relativeHeight="251658240" behindDoc="0" locked="0" layoutInCell="1" allowOverlap="1" wp14:anchorId="14406923" wp14:editId="2945EC78">
            <wp:simplePos x="1143000" y="914400"/>
            <wp:positionH relativeFrom="margin">
              <wp:align>center</wp:align>
            </wp:positionH>
            <wp:positionV relativeFrom="margin">
              <wp:align>top</wp:align>
            </wp:positionV>
            <wp:extent cx="5693410" cy="4269729"/>
            <wp:effectExtent l="0" t="0" r="2540" b="0"/>
            <wp:wrapSquare wrapText="bothSides"/>
            <wp:docPr id="16358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9421" name="Picture 1635829421"/>
                    <pic:cNvPicPr/>
                  </pic:nvPicPr>
                  <pic:blipFill>
                    <a:blip r:embed="rId7">
                      <a:extLst>
                        <a:ext uri="{28A0092B-C50C-407E-A947-70E740481C1C}">
                          <a14:useLocalDpi xmlns:a14="http://schemas.microsoft.com/office/drawing/2010/main" val="0"/>
                        </a:ext>
                      </a:extLst>
                    </a:blip>
                    <a:stretch>
                      <a:fillRect/>
                    </a:stretch>
                  </pic:blipFill>
                  <pic:spPr>
                    <a:xfrm>
                      <a:off x="0" y="0"/>
                      <a:ext cx="5693410" cy="4269729"/>
                    </a:xfrm>
                    <a:prstGeom prst="rect">
                      <a:avLst/>
                    </a:prstGeom>
                  </pic:spPr>
                </pic:pic>
              </a:graphicData>
            </a:graphic>
          </wp:anchor>
        </w:drawing>
      </w:r>
    </w:p>
    <w:p w14:paraId="104D6075" w14:textId="3846B17C" w:rsidR="00E63614" w:rsidRDefault="00000000">
      <w:pPr>
        <w:spacing w:before="60" w:after="120"/>
        <w:jc w:val="center"/>
      </w:pPr>
      <w:r>
        <w:rPr>
          <w:i/>
          <w:iCs/>
          <w:sz w:val="20"/>
          <w:szCs w:val="20"/>
        </w:rPr>
        <w:t>Figure 1: Time-varying dynamic conditional correlations between COMEX and Pakistani precious metal markets (2015–2024). Red dashed lines indicate sample means.</w:t>
      </w:r>
    </w:p>
    <w:p w14:paraId="037A1D08" w14:textId="77777777" w:rsidR="00E63614" w:rsidRDefault="00000000">
      <w:pPr>
        <w:pStyle w:val="Heading2"/>
      </w:pPr>
      <w:r>
        <w:t>4.4 Conditional Volatilities</w:t>
      </w:r>
    </w:p>
    <w:p w14:paraId="7EB87C0B" w14:textId="77777777" w:rsidR="00E63614" w:rsidRDefault="00000000">
      <w:pPr>
        <w:spacing w:before="80" w:after="80"/>
        <w:jc w:val="both"/>
      </w:pPr>
      <w:r>
        <w:t xml:space="preserve">Mean conditional volatilities extracted from the DCC model are: Gold USD (0.985%), Silver USD (1.993%), Gold PKR (1.318%), and Silver PKR (2.157%). Pakistani series are systematically more volatile than their USD counterparts by approximately 30–35 basis points, reflecting the compounding effect of PKR exchange rate volatility on top of underlying commodity price volatility. Silver exhibits approximately twice the conditional volatility of gold in both markets, confirming the well-documented difference in silver's price </w:t>
      </w:r>
      <w:proofErr w:type="spellStart"/>
      <w:r>
        <w:t>behaviour</w:t>
      </w:r>
      <w:proofErr w:type="spellEnd"/>
      <w:r>
        <w:t xml:space="preserve"> relative to gold.</w:t>
      </w:r>
    </w:p>
    <w:p w14:paraId="213CC197" w14:textId="77777777" w:rsidR="00733AB7" w:rsidRDefault="00733AB7">
      <w:pPr>
        <w:spacing w:before="80" w:after="80"/>
        <w:jc w:val="both"/>
      </w:pPr>
    </w:p>
    <w:p w14:paraId="27F3976A" w14:textId="77777777" w:rsidR="00733AB7" w:rsidRDefault="00733AB7">
      <w:pPr>
        <w:spacing w:before="80" w:after="80"/>
        <w:jc w:val="both"/>
      </w:pPr>
    </w:p>
    <w:p w14:paraId="1399E0C0" w14:textId="77777777" w:rsidR="00733AB7" w:rsidRDefault="00733AB7">
      <w:pPr>
        <w:spacing w:before="80" w:after="80"/>
        <w:jc w:val="both"/>
      </w:pPr>
    </w:p>
    <w:p w14:paraId="434CA9B4" w14:textId="77777777" w:rsidR="00733AB7" w:rsidRDefault="00733AB7">
      <w:pPr>
        <w:spacing w:before="80" w:after="80"/>
        <w:jc w:val="both"/>
      </w:pPr>
    </w:p>
    <w:p w14:paraId="067B9E6C" w14:textId="77777777" w:rsidR="00E63614" w:rsidRDefault="00000000">
      <w:pPr>
        <w:pStyle w:val="Heading2"/>
      </w:pPr>
      <w:r>
        <w:lastRenderedPageBreak/>
        <w:t>4.5 Granger Causality and Spillover Direction</w:t>
      </w:r>
    </w:p>
    <w:p w14:paraId="4F79426A" w14:textId="77777777" w:rsidR="00E63614" w:rsidRDefault="00000000">
      <w:pPr>
        <w:spacing w:before="80" w:after="80"/>
        <w:jc w:val="both"/>
      </w:pPr>
      <w:r>
        <w:t>Table 6 presents Granger causality test results on squared returns, testing the directional hypothesis that lagged volatility in one market predicts future volatility in another.</w:t>
      </w:r>
    </w:p>
    <w:p w14:paraId="79F5CAA6" w14:textId="77777777" w:rsidR="00E63614" w:rsidRDefault="00E63614"/>
    <w:p w14:paraId="656C42F4" w14:textId="77777777" w:rsidR="00E63614" w:rsidRDefault="00000000">
      <w:pPr>
        <w:spacing w:before="200" w:after="60"/>
        <w:jc w:val="center"/>
      </w:pPr>
      <w:r>
        <w:rPr>
          <w:b/>
          <w:bCs/>
          <w:sz w:val="22"/>
          <w:szCs w:val="22"/>
        </w:rPr>
        <w:t>Table 6: Granger Causality Tests on Squared Returns (5 Lags)</w:t>
      </w:r>
    </w:p>
    <w:tbl>
      <w:tblPr>
        <w:tblW w:w="7000" w:type="dxa"/>
        <w:tblBorders>
          <w:top w:val="single" w:sz="8" w:space="0" w:color="auto"/>
          <w:bottom w:val="single" w:sz="8"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200"/>
        <w:gridCol w:w="1600"/>
      </w:tblGrid>
      <w:tr w:rsidR="00E63614" w14:paraId="32CF682A" w14:textId="77777777">
        <w:tblPrEx>
          <w:tblCellMar>
            <w:top w:w="0" w:type="dxa"/>
            <w:bottom w:w="0" w:type="dxa"/>
          </w:tblCellMar>
        </w:tblPrEx>
        <w:trPr>
          <w:tblHeader/>
        </w:trPr>
        <w:tc>
          <w:tcPr>
            <w:tcW w:w="2800" w:type="dxa"/>
            <w:shd w:val="clear" w:color="auto" w:fill="D9D9D9"/>
          </w:tcPr>
          <w:p w14:paraId="05518634" w14:textId="77777777" w:rsidR="00E63614" w:rsidRDefault="00000000">
            <w:pPr>
              <w:spacing w:before="40" w:after="40"/>
              <w:jc w:val="center"/>
            </w:pPr>
            <w:r>
              <w:rPr>
                <w:b/>
                <w:bCs/>
                <w:sz w:val="20"/>
                <w:szCs w:val="20"/>
              </w:rPr>
              <w:t>Direction</w:t>
            </w:r>
          </w:p>
        </w:tc>
        <w:tc>
          <w:tcPr>
            <w:tcW w:w="1400" w:type="dxa"/>
            <w:shd w:val="clear" w:color="auto" w:fill="D9D9D9"/>
          </w:tcPr>
          <w:p w14:paraId="23961A29" w14:textId="77777777" w:rsidR="00E63614" w:rsidRDefault="00000000">
            <w:pPr>
              <w:spacing w:before="40" w:after="40"/>
              <w:jc w:val="center"/>
            </w:pPr>
            <w:r>
              <w:rPr>
                <w:b/>
                <w:bCs/>
                <w:sz w:val="20"/>
                <w:szCs w:val="20"/>
              </w:rPr>
              <w:t>F-statistic</w:t>
            </w:r>
          </w:p>
        </w:tc>
        <w:tc>
          <w:tcPr>
            <w:tcW w:w="1200" w:type="dxa"/>
            <w:shd w:val="clear" w:color="auto" w:fill="D9D9D9"/>
          </w:tcPr>
          <w:p w14:paraId="5076633F" w14:textId="77777777" w:rsidR="00E63614" w:rsidRDefault="00000000">
            <w:pPr>
              <w:spacing w:before="40" w:after="40"/>
              <w:jc w:val="center"/>
            </w:pPr>
            <w:r>
              <w:rPr>
                <w:b/>
                <w:bCs/>
                <w:sz w:val="20"/>
                <w:szCs w:val="20"/>
              </w:rPr>
              <w:t>p-value</w:t>
            </w:r>
          </w:p>
        </w:tc>
        <w:tc>
          <w:tcPr>
            <w:tcW w:w="1600" w:type="dxa"/>
            <w:shd w:val="clear" w:color="auto" w:fill="D9D9D9"/>
          </w:tcPr>
          <w:p w14:paraId="68CA453F" w14:textId="77777777" w:rsidR="00E63614" w:rsidRDefault="00000000">
            <w:pPr>
              <w:spacing w:before="40" w:after="40"/>
              <w:jc w:val="center"/>
            </w:pPr>
            <w:r>
              <w:rPr>
                <w:b/>
                <w:bCs/>
                <w:sz w:val="20"/>
                <w:szCs w:val="20"/>
              </w:rPr>
              <w:t>Result</w:t>
            </w:r>
          </w:p>
        </w:tc>
      </w:tr>
      <w:tr w:rsidR="00E63614" w14:paraId="336BDAAC" w14:textId="77777777">
        <w:tblPrEx>
          <w:tblCellMar>
            <w:top w:w="0" w:type="dxa"/>
            <w:bottom w:w="0" w:type="dxa"/>
          </w:tblCellMar>
        </w:tblPrEx>
        <w:tc>
          <w:tcPr>
            <w:tcW w:w="2800" w:type="dxa"/>
          </w:tcPr>
          <w:p w14:paraId="59DBEAC6" w14:textId="77777777" w:rsidR="00E63614" w:rsidRDefault="00000000">
            <w:pPr>
              <w:spacing w:before="40" w:after="40"/>
            </w:pPr>
            <w:r>
              <w:rPr>
                <w:sz w:val="20"/>
                <w:szCs w:val="20"/>
              </w:rPr>
              <w:t>COMEX Gold → Pakistan Gold</w:t>
            </w:r>
          </w:p>
        </w:tc>
        <w:tc>
          <w:tcPr>
            <w:tcW w:w="1400" w:type="dxa"/>
          </w:tcPr>
          <w:p w14:paraId="64CA8DC3" w14:textId="77777777" w:rsidR="00E63614" w:rsidRDefault="00000000">
            <w:pPr>
              <w:spacing w:before="40" w:after="40"/>
              <w:jc w:val="center"/>
            </w:pPr>
            <w:r>
              <w:rPr>
                <w:sz w:val="20"/>
                <w:szCs w:val="20"/>
              </w:rPr>
              <w:t>1.742</w:t>
            </w:r>
          </w:p>
        </w:tc>
        <w:tc>
          <w:tcPr>
            <w:tcW w:w="1200" w:type="dxa"/>
          </w:tcPr>
          <w:p w14:paraId="49AD57E4" w14:textId="77777777" w:rsidR="00E63614" w:rsidRDefault="00000000">
            <w:pPr>
              <w:spacing w:before="40" w:after="40"/>
              <w:jc w:val="center"/>
            </w:pPr>
            <w:r>
              <w:rPr>
                <w:sz w:val="20"/>
                <w:szCs w:val="20"/>
              </w:rPr>
              <w:t>0.122</w:t>
            </w:r>
          </w:p>
        </w:tc>
        <w:tc>
          <w:tcPr>
            <w:tcW w:w="1600" w:type="dxa"/>
          </w:tcPr>
          <w:p w14:paraId="1A11AECE" w14:textId="77777777" w:rsidR="00E63614" w:rsidRDefault="00000000">
            <w:pPr>
              <w:spacing w:before="40" w:after="40"/>
              <w:jc w:val="center"/>
            </w:pPr>
            <w:r>
              <w:rPr>
                <w:sz w:val="20"/>
                <w:szCs w:val="20"/>
              </w:rPr>
              <w:t>Not significant</w:t>
            </w:r>
          </w:p>
        </w:tc>
      </w:tr>
      <w:tr w:rsidR="00E63614" w14:paraId="5F7D2F25" w14:textId="77777777">
        <w:tblPrEx>
          <w:tblCellMar>
            <w:top w:w="0" w:type="dxa"/>
            <w:bottom w:w="0" w:type="dxa"/>
          </w:tblCellMar>
        </w:tblPrEx>
        <w:tc>
          <w:tcPr>
            <w:tcW w:w="2800" w:type="dxa"/>
            <w:shd w:val="clear" w:color="auto" w:fill="F5F5F5"/>
          </w:tcPr>
          <w:p w14:paraId="4BB0B70D" w14:textId="77777777" w:rsidR="00E63614" w:rsidRDefault="00000000">
            <w:pPr>
              <w:spacing w:before="40" w:after="40"/>
            </w:pPr>
            <w:r>
              <w:rPr>
                <w:sz w:val="20"/>
                <w:szCs w:val="20"/>
              </w:rPr>
              <w:t>Pakistan Gold → COMEX Gold</w:t>
            </w:r>
          </w:p>
        </w:tc>
        <w:tc>
          <w:tcPr>
            <w:tcW w:w="1400" w:type="dxa"/>
            <w:shd w:val="clear" w:color="auto" w:fill="F5F5F5"/>
          </w:tcPr>
          <w:p w14:paraId="556B3AE6" w14:textId="77777777" w:rsidR="00E63614" w:rsidRDefault="00000000">
            <w:pPr>
              <w:spacing w:before="40" w:after="40"/>
              <w:jc w:val="center"/>
            </w:pPr>
            <w:r>
              <w:rPr>
                <w:sz w:val="20"/>
                <w:szCs w:val="20"/>
              </w:rPr>
              <w:t>1.817</w:t>
            </w:r>
          </w:p>
        </w:tc>
        <w:tc>
          <w:tcPr>
            <w:tcW w:w="1200" w:type="dxa"/>
            <w:shd w:val="clear" w:color="auto" w:fill="F5F5F5"/>
          </w:tcPr>
          <w:p w14:paraId="0DBF66D8" w14:textId="77777777" w:rsidR="00E63614" w:rsidRDefault="00000000">
            <w:pPr>
              <w:spacing w:before="40" w:after="40"/>
              <w:jc w:val="center"/>
            </w:pPr>
            <w:r>
              <w:rPr>
                <w:sz w:val="20"/>
                <w:szCs w:val="20"/>
              </w:rPr>
              <w:t>0.106</w:t>
            </w:r>
          </w:p>
        </w:tc>
        <w:tc>
          <w:tcPr>
            <w:tcW w:w="1600" w:type="dxa"/>
            <w:shd w:val="clear" w:color="auto" w:fill="F5F5F5"/>
          </w:tcPr>
          <w:p w14:paraId="02D9256B" w14:textId="77777777" w:rsidR="00E63614" w:rsidRDefault="00000000">
            <w:pPr>
              <w:spacing w:before="40" w:after="40"/>
              <w:jc w:val="center"/>
            </w:pPr>
            <w:r>
              <w:rPr>
                <w:sz w:val="20"/>
                <w:szCs w:val="20"/>
              </w:rPr>
              <w:t>Not significant</w:t>
            </w:r>
          </w:p>
        </w:tc>
      </w:tr>
      <w:tr w:rsidR="00E63614" w14:paraId="5B24C067" w14:textId="77777777">
        <w:tblPrEx>
          <w:tblCellMar>
            <w:top w:w="0" w:type="dxa"/>
            <w:bottom w:w="0" w:type="dxa"/>
          </w:tblCellMar>
        </w:tblPrEx>
        <w:tc>
          <w:tcPr>
            <w:tcW w:w="2800" w:type="dxa"/>
          </w:tcPr>
          <w:p w14:paraId="60867DE7" w14:textId="77777777" w:rsidR="00E63614" w:rsidRDefault="00000000">
            <w:pPr>
              <w:spacing w:before="40" w:after="40"/>
            </w:pPr>
            <w:r>
              <w:rPr>
                <w:sz w:val="20"/>
                <w:szCs w:val="20"/>
              </w:rPr>
              <w:t>COMEX Silver → Pakistan Silver</w:t>
            </w:r>
          </w:p>
        </w:tc>
        <w:tc>
          <w:tcPr>
            <w:tcW w:w="1400" w:type="dxa"/>
          </w:tcPr>
          <w:p w14:paraId="2298E122" w14:textId="77777777" w:rsidR="00E63614" w:rsidRDefault="00000000">
            <w:pPr>
              <w:spacing w:before="40" w:after="40"/>
              <w:jc w:val="center"/>
            </w:pPr>
            <w:r>
              <w:rPr>
                <w:sz w:val="20"/>
                <w:szCs w:val="20"/>
              </w:rPr>
              <w:t>4.628</w:t>
            </w:r>
          </w:p>
        </w:tc>
        <w:tc>
          <w:tcPr>
            <w:tcW w:w="1200" w:type="dxa"/>
          </w:tcPr>
          <w:p w14:paraId="5E01A380" w14:textId="77777777" w:rsidR="00E63614" w:rsidRDefault="00000000">
            <w:pPr>
              <w:spacing w:before="40" w:after="40"/>
              <w:jc w:val="center"/>
            </w:pPr>
            <w:r>
              <w:rPr>
                <w:sz w:val="20"/>
                <w:szCs w:val="20"/>
              </w:rPr>
              <w:t>&lt; 0.001</w:t>
            </w:r>
          </w:p>
        </w:tc>
        <w:tc>
          <w:tcPr>
            <w:tcW w:w="1600" w:type="dxa"/>
          </w:tcPr>
          <w:p w14:paraId="7FEA50A5" w14:textId="77777777" w:rsidR="00E63614" w:rsidRDefault="00000000">
            <w:pPr>
              <w:spacing w:before="40" w:after="40"/>
              <w:jc w:val="center"/>
            </w:pPr>
            <w:r>
              <w:rPr>
                <w:sz w:val="20"/>
                <w:szCs w:val="20"/>
              </w:rPr>
              <w:t>Significant ***</w:t>
            </w:r>
          </w:p>
        </w:tc>
      </w:tr>
      <w:tr w:rsidR="00E63614" w14:paraId="4FB722F1" w14:textId="77777777">
        <w:tblPrEx>
          <w:tblCellMar>
            <w:top w:w="0" w:type="dxa"/>
            <w:bottom w:w="0" w:type="dxa"/>
          </w:tblCellMar>
        </w:tblPrEx>
        <w:tc>
          <w:tcPr>
            <w:tcW w:w="2800" w:type="dxa"/>
            <w:shd w:val="clear" w:color="auto" w:fill="F5F5F5"/>
          </w:tcPr>
          <w:p w14:paraId="2BF61001" w14:textId="77777777" w:rsidR="00E63614" w:rsidRDefault="00000000">
            <w:pPr>
              <w:spacing w:before="40" w:after="40"/>
            </w:pPr>
            <w:r>
              <w:rPr>
                <w:sz w:val="20"/>
                <w:szCs w:val="20"/>
              </w:rPr>
              <w:t>Pakistan Silver → COMEX Silver</w:t>
            </w:r>
          </w:p>
        </w:tc>
        <w:tc>
          <w:tcPr>
            <w:tcW w:w="1400" w:type="dxa"/>
            <w:shd w:val="clear" w:color="auto" w:fill="F5F5F5"/>
          </w:tcPr>
          <w:p w14:paraId="19D0AF03" w14:textId="77777777" w:rsidR="00E63614" w:rsidRDefault="00000000">
            <w:pPr>
              <w:spacing w:before="40" w:after="40"/>
              <w:jc w:val="center"/>
            </w:pPr>
            <w:r>
              <w:rPr>
                <w:sz w:val="20"/>
                <w:szCs w:val="20"/>
              </w:rPr>
              <w:t>2.580</w:t>
            </w:r>
          </w:p>
        </w:tc>
        <w:tc>
          <w:tcPr>
            <w:tcW w:w="1200" w:type="dxa"/>
            <w:shd w:val="clear" w:color="auto" w:fill="F5F5F5"/>
          </w:tcPr>
          <w:p w14:paraId="75D6C5DA" w14:textId="77777777" w:rsidR="00E63614" w:rsidRDefault="00000000">
            <w:pPr>
              <w:spacing w:before="40" w:after="40"/>
              <w:jc w:val="center"/>
            </w:pPr>
            <w:r>
              <w:rPr>
                <w:sz w:val="20"/>
                <w:szCs w:val="20"/>
              </w:rPr>
              <w:t>0.025</w:t>
            </w:r>
          </w:p>
        </w:tc>
        <w:tc>
          <w:tcPr>
            <w:tcW w:w="1600" w:type="dxa"/>
            <w:shd w:val="clear" w:color="auto" w:fill="F5F5F5"/>
          </w:tcPr>
          <w:p w14:paraId="4B712C23" w14:textId="77777777" w:rsidR="00E63614" w:rsidRDefault="00000000">
            <w:pPr>
              <w:spacing w:before="40" w:after="40"/>
              <w:jc w:val="center"/>
            </w:pPr>
            <w:r>
              <w:rPr>
                <w:sz w:val="20"/>
                <w:szCs w:val="20"/>
              </w:rPr>
              <w:t>Significant *</w:t>
            </w:r>
          </w:p>
        </w:tc>
      </w:tr>
    </w:tbl>
    <w:p w14:paraId="3FC4446D" w14:textId="77777777" w:rsidR="00E63614" w:rsidRDefault="00000000">
      <w:pPr>
        <w:spacing w:before="60" w:after="120"/>
      </w:pPr>
      <w:r>
        <w:rPr>
          <w:b/>
          <w:bCs/>
          <w:i/>
          <w:iCs/>
          <w:sz w:val="18"/>
          <w:szCs w:val="18"/>
        </w:rPr>
        <w:t xml:space="preserve">Note: </w:t>
      </w:r>
      <w:r>
        <w:rPr>
          <w:i/>
          <w:iCs/>
          <w:sz w:val="18"/>
          <w:szCs w:val="18"/>
        </w:rPr>
        <w:t>*** p &lt; 0.001; * p &lt; 0.05. Null hypothesis: lagged squared returns of market X do not Granger-cause squared returns of market Y. Lag order = 5.</w:t>
      </w:r>
    </w:p>
    <w:p w14:paraId="6781F15F" w14:textId="77777777" w:rsidR="00E63614" w:rsidRDefault="00E63614"/>
    <w:p w14:paraId="7F15B94D" w14:textId="77777777" w:rsidR="00E63614" w:rsidRDefault="00000000">
      <w:pPr>
        <w:spacing w:before="80" w:after="80"/>
        <w:jc w:val="both"/>
      </w:pPr>
      <w:r>
        <w:t>The Granger causality results yield a nuanced picture of volatility transmission that complements the DCC findings. For gold markets, no significant causal relationship is detected in either direction (F = 1.742, p = 0.122 for the US-to-Pakistan direction; F = 1.817, p = 0.106 for the reverse). This indicates that gold volatility transmission between COMEX and Pakistani markets is contemporaneous rather than sequential — Pakistani gold volatility responds simultaneously to COMEX shocks within the same trading day, leaving no predictable lead-lag pattern at daily frequency. This is consistent with near-instantaneous information diffusion through international gold pricing channels.</w:t>
      </w:r>
    </w:p>
    <w:p w14:paraId="7F72BF79" w14:textId="77777777" w:rsidR="00E63614" w:rsidRDefault="00000000">
      <w:pPr>
        <w:spacing w:before="80" w:after="80"/>
        <w:jc w:val="both"/>
      </w:pPr>
      <w:r>
        <w:t>Silver markets present a starkly different picture. COMEX silver volatility strongly Granger-causes Pakistani silver volatility at the 0.1% significance level (F = 4.628, p &lt; 0.001), indicating that US silver market shocks today predict Pakistani silver market volatility over the following week. More remarkably, a statistically significant reverse channel is also detected (F = 2.580, p = 0.025), suggesting that Pakistani silver market volatility contains incremental information about future COMEX silver volatility. This bidirectional relationship, while asymmetric in magnitude, implies that Pakistani silver markets are not merely passive recipients of international price signals but participate in the global price discovery process — a finding that warrants further investigation.</w:t>
      </w:r>
    </w:p>
    <w:p w14:paraId="675F51EA" w14:textId="77777777" w:rsidR="00733AB7" w:rsidRDefault="00733AB7">
      <w:pPr>
        <w:spacing w:before="80" w:after="80"/>
        <w:jc w:val="both"/>
      </w:pPr>
    </w:p>
    <w:p w14:paraId="70287293" w14:textId="77777777" w:rsidR="00E63614" w:rsidRDefault="00000000">
      <w:pPr>
        <w:pStyle w:val="Heading1"/>
      </w:pPr>
      <w:r>
        <w:lastRenderedPageBreak/>
        <w:t>5. Conclusion</w:t>
      </w:r>
    </w:p>
    <w:p w14:paraId="5AC067B6" w14:textId="77777777" w:rsidR="00E63614" w:rsidRDefault="00000000">
      <w:pPr>
        <w:spacing w:before="80" w:after="80"/>
        <w:jc w:val="both"/>
      </w:pPr>
      <w:r>
        <w:t>This study provides the first direct econometric evidence on bilateral volatility spillovers between COMEX and Pakistani precious metal markets using a DCC-GARCH framework over the decade 2015–2024. Three principal findings emerge.</w:t>
      </w:r>
    </w:p>
    <w:p w14:paraId="2257AA21" w14:textId="77777777" w:rsidR="00E63614" w:rsidRDefault="00000000">
      <w:pPr>
        <w:spacing w:before="80" w:after="80"/>
        <w:jc w:val="both"/>
      </w:pPr>
      <w:r>
        <w:t>First, dynamic conditional correlations between US and Pakistani precious metal markets are high and persistent, with mean estimates of 0.747 for gold and 0.881 for silver. These correlations are time-varying, displaying pronounced declines during the 2018 and COVID-19 disruption periods before recovering to near-peak levels in the post-2022 era. The high magnitudes imply that Pakistani precious metal markets are substantially integrated with international benchmarks and offer limited diversification benefits against COMEX positions.</w:t>
      </w:r>
    </w:p>
    <w:p w14:paraId="182674E1" w14:textId="77777777" w:rsidR="00E63614" w:rsidRDefault="00000000">
      <w:pPr>
        <w:spacing w:before="80" w:after="80"/>
        <w:jc w:val="both"/>
      </w:pPr>
      <w:r>
        <w:t>Second, the gold and silver transmission mechanisms differ fundamentally. Gold volatility transmission is contemporaneous — both markets respond simultaneously to shared information — with no predictable lead-lag relationship at daily frequency. Silver transmission is distinctly asymmetric and sequential: COMEX silver strongly predicts Pakistani silver volatility (p &lt; 0.001), consistent with Pakistan being an information receiver in silver markets. The weaker but significant reverse channel (p &lt; 0.05) suggests Pakistani silver markets also contribute — perhaps through physical demand signals — to global silver price discovery.</w:t>
      </w:r>
    </w:p>
    <w:p w14:paraId="165E9AC1" w14:textId="77777777" w:rsidR="00E63614" w:rsidRDefault="00000000">
      <w:pPr>
        <w:spacing w:before="80" w:after="80"/>
        <w:jc w:val="both"/>
      </w:pPr>
      <w:r>
        <w:t>Third, Pakistani precious metal series exhibit systematically higher conditional volatility than their COMEX counterparts, attributable to the compounding effect of PKR exchange rate volatility. The PKR depreciated from approximately 100 PKR/USD in January 2015 to 277 PKR/USD by December 2024, adding a structural volatility premium to all domestically priced commodity returns.</w:t>
      </w:r>
    </w:p>
    <w:p w14:paraId="4663AEBC" w14:textId="77777777" w:rsidR="00E63614" w:rsidRDefault="00000000">
      <w:pPr>
        <w:spacing w:before="80" w:after="80"/>
        <w:jc w:val="both"/>
      </w:pPr>
      <w:r>
        <w:t xml:space="preserve">These findings carry several practical implications. For Pakistani investors holding gold or silver as inflation hedges, the high correlation with COMEX prices means that international commodity shocks transmit rapidly and fully into domestic returns — a limitation on the hedging effectiveness of local precious metal positions. For risk managers, the time-varying nature of correlations underscores the inadequacy of static hedging ratios and motivates dynamic hedging strategies calibrated to prevailing DCC estimates. For monetary and financial policymakers, the results suggest that COMEX price shocks should be monitored </w:t>
      </w:r>
      <w:r>
        <w:lastRenderedPageBreak/>
        <w:t>closely as leading indicators of volatility in Pakistani precious metal markets, particularly in silver.</w:t>
      </w:r>
    </w:p>
    <w:p w14:paraId="79334D37" w14:textId="77777777" w:rsidR="00E63614" w:rsidRDefault="00000000">
      <w:pPr>
        <w:spacing w:before="80" w:after="80"/>
        <w:jc w:val="both"/>
      </w:pPr>
      <w:r>
        <w:t>This study carries two primary limitations. First, the Pakistani series are constructed from COMEX prices and the USD/PKR exchange rate rather than directly observed PMEX settlement prices, which may introduce measurement noise. Future research should seek to obtain granular PMEX tick data, particularly for the post-2018 period when PMEX trading volumes are known to have increased. Second, the study does not model structural breaks explicitly. The 2018 and 2020 correlation drops visible in Figure 1 suggest regime-dependent dynamics that a Markov-switching DCC or time-varying parameter model might capture more precisely. Extensions to asymmetric GARCH specifications (GJR-GARCH, EGARCH) to test whether negative return shocks generate larger volatility responses than positive shocks also represent fruitful directions for future research.</w:t>
      </w:r>
    </w:p>
    <w:p w14:paraId="1647EA94" w14:textId="65D38B89" w:rsidR="00E63614" w:rsidRPr="00733AB7" w:rsidRDefault="00733AB7" w:rsidP="00733AB7">
      <w:pPr>
        <w:pStyle w:val="Heading1"/>
      </w:pPr>
      <w:r>
        <w:t xml:space="preserve">6. </w:t>
      </w:r>
      <w:r w:rsidR="00000000" w:rsidRPr="00733AB7">
        <w:t>References</w:t>
      </w:r>
    </w:p>
    <w:p w14:paraId="5FFEEE41" w14:textId="77777777" w:rsidR="00E63614" w:rsidRDefault="00000000">
      <w:pPr>
        <w:spacing w:before="80" w:after="80"/>
        <w:jc w:val="both"/>
      </w:pPr>
      <w:r>
        <w:t>Bollerslev, T. (1986). Generalised autoregressive conditional heteroskedasticity. Journal of Econometrics, 31(3), 307–327.</w:t>
      </w:r>
    </w:p>
    <w:p w14:paraId="5207202F" w14:textId="77777777" w:rsidR="00E63614" w:rsidRDefault="00000000">
      <w:pPr>
        <w:spacing w:before="80" w:after="80"/>
        <w:jc w:val="both"/>
      </w:pPr>
      <w:r>
        <w:t>Engle, R. F. (1982). Autoregressive conditional heteroscedasticity with estimates of the variance of United Kingdom inflation. Econometrica, 50(4), 987–1007.</w:t>
      </w:r>
    </w:p>
    <w:p w14:paraId="766A8C7A" w14:textId="77777777" w:rsidR="00E63614" w:rsidRDefault="00000000">
      <w:pPr>
        <w:spacing w:before="80" w:after="80"/>
        <w:jc w:val="both"/>
      </w:pPr>
      <w:r>
        <w:t>Engle, R. F. (2002). Dynamic conditional correlation: A simple class of multivariate generalised autoregressive conditional heteroskedasticity models. Journal of Business and Economic Statistics, 20(3), 339–350.</w:t>
      </w:r>
    </w:p>
    <w:p w14:paraId="709C299D" w14:textId="77777777" w:rsidR="00E63614" w:rsidRDefault="00000000">
      <w:pPr>
        <w:spacing w:before="80" w:after="80"/>
        <w:jc w:val="both"/>
      </w:pPr>
      <w:r>
        <w:t>Mandelbrot, B. (1963). The variation of certain speculative prices. Journal of Business, 36(4), 394–419.</w:t>
      </w:r>
    </w:p>
    <w:p w14:paraId="31F571A2" w14:textId="77777777" w:rsidR="00E63614" w:rsidRDefault="00000000">
      <w:pPr>
        <w:spacing w:before="80" w:after="80"/>
        <w:jc w:val="both"/>
      </w:pPr>
      <w:r>
        <w:t>Yahoo Finance (2024). Historical market data: GC=F, SI=F, PKR=X. Retrieved January 2015 – December 2024. https://finance.yahoo.com</w:t>
      </w:r>
    </w:p>
    <w:sectPr w:rsidR="00E63614">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4976" w14:textId="77777777" w:rsidR="00CA54A3" w:rsidRDefault="00CA54A3">
      <w:pPr>
        <w:spacing w:line="240" w:lineRule="auto"/>
      </w:pPr>
      <w:r>
        <w:separator/>
      </w:r>
    </w:p>
  </w:endnote>
  <w:endnote w:type="continuationSeparator" w:id="0">
    <w:p w14:paraId="34D922DB" w14:textId="77777777" w:rsidR="00CA54A3" w:rsidRDefault="00CA5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E75C" w14:textId="7AA7B90B" w:rsidR="00E63614" w:rsidRDefault="00E63614">
    <w:pPr>
      <w:pBdr>
        <w:top w:val="single" w:sz="4" w:space="0"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FC03" w14:textId="77777777" w:rsidR="00CA54A3" w:rsidRDefault="00CA54A3">
      <w:pPr>
        <w:spacing w:line="240" w:lineRule="auto"/>
      </w:pPr>
      <w:r>
        <w:separator/>
      </w:r>
    </w:p>
  </w:footnote>
  <w:footnote w:type="continuationSeparator" w:id="0">
    <w:p w14:paraId="581C335B" w14:textId="77777777" w:rsidR="00CA54A3" w:rsidRDefault="00CA54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6BC6" w14:textId="77777777" w:rsidR="00E63614" w:rsidRDefault="00000000">
    <w:pPr>
      <w:pBdr>
        <w:bottom w:val="single" w:sz="4" w:space="0" w:color="CCCCCC"/>
      </w:pBdr>
      <w:jc w:val="right"/>
    </w:pPr>
    <w:r>
      <w:rPr>
        <w:color w:val="666666"/>
        <w:sz w:val="18"/>
        <w:szCs w:val="18"/>
      </w:rPr>
      <w:t>Volatility Spillovers: COMEX to Pakistani Precious Metal Markets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16CB6"/>
    <w:multiLevelType w:val="hybridMultilevel"/>
    <w:tmpl w:val="B72A4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A63B9C"/>
    <w:multiLevelType w:val="hybridMultilevel"/>
    <w:tmpl w:val="17ACA220"/>
    <w:lvl w:ilvl="0" w:tplc="3990BB4C">
      <w:start w:val="1"/>
      <w:numFmt w:val="bullet"/>
      <w:lvlText w:val="●"/>
      <w:lvlJc w:val="left"/>
      <w:pPr>
        <w:ind w:left="720" w:hanging="360"/>
      </w:pPr>
    </w:lvl>
    <w:lvl w:ilvl="1" w:tplc="D26E44F8">
      <w:start w:val="1"/>
      <w:numFmt w:val="bullet"/>
      <w:lvlText w:val="○"/>
      <w:lvlJc w:val="left"/>
      <w:pPr>
        <w:ind w:left="1440" w:hanging="360"/>
      </w:pPr>
    </w:lvl>
    <w:lvl w:ilvl="2" w:tplc="55DC40B0">
      <w:start w:val="1"/>
      <w:numFmt w:val="bullet"/>
      <w:lvlText w:val="■"/>
      <w:lvlJc w:val="left"/>
      <w:pPr>
        <w:ind w:left="2160" w:hanging="360"/>
      </w:pPr>
    </w:lvl>
    <w:lvl w:ilvl="3" w:tplc="065EAA12">
      <w:start w:val="1"/>
      <w:numFmt w:val="bullet"/>
      <w:lvlText w:val="●"/>
      <w:lvlJc w:val="left"/>
      <w:pPr>
        <w:ind w:left="2880" w:hanging="360"/>
      </w:pPr>
    </w:lvl>
    <w:lvl w:ilvl="4" w:tplc="166ECC80">
      <w:start w:val="1"/>
      <w:numFmt w:val="bullet"/>
      <w:lvlText w:val="○"/>
      <w:lvlJc w:val="left"/>
      <w:pPr>
        <w:ind w:left="3600" w:hanging="360"/>
      </w:pPr>
    </w:lvl>
    <w:lvl w:ilvl="5" w:tplc="D7545416">
      <w:start w:val="1"/>
      <w:numFmt w:val="bullet"/>
      <w:lvlText w:val="■"/>
      <w:lvlJc w:val="left"/>
      <w:pPr>
        <w:ind w:left="4320" w:hanging="360"/>
      </w:pPr>
    </w:lvl>
    <w:lvl w:ilvl="6" w:tplc="24B0C372">
      <w:start w:val="1"/>
      <w:numFmt w:val="bullet"/>
      <w:lvlText w:val="●"/>
      <w:lvlJc w:val="left"/>
      <w:pPr>
        <w:ind w:left="5040" w:hanging="360"/>
      </w:pPr>
    </w:lvl>
    <w:lvl w:ilvl="7" w:tplc="7294F438">
      <w:start w:val="1"/>
      <w:numFmt w:val="bullet"/>
      <w:lvlText w:val="●"/>
      <w:lvlJc w:val="left"/>
      <w:pPr>
        <w:ind w:left="5760" w:hanging="360"/>
      </w:pPr>
    </w:lvl>
    <w:lvl w:ilvl="8" w:tplc="B184BD38">
      <w:start w:val="1"/>
      <w:numFmt w:val="bullet"/>
      <w:lvlText w:val="●"/>
      <w:lvlJc w:val="left"/>
      <w:pPr>
        <w:ind w:left="6480" w:hanging="360"/>
      </w:pPr>
    </w:lvl>
  </w:abstractNum>
  <w:num w:numId="1" w16cid:durableId="373502277">
    <w:abstractNumId w:val="1"/>
    <w:lvlOverride w:ilvl="0">
      <w:startOverride w:val="1"/>
    </w:lvlOverride>
  </w:num>
  <w:num w:numId="2" w16cid:durableId="190043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14"/>
    <w:rsid w:val="0020735D"/>
    <w:rsid w:val="0051418E"/>
    <w:rsid w:val="00733AB7"/>
    <w:rsid w:val="00CA54A3"/>
    <w:rsid w:val="00E63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C295"/>
  <w15:docId w15:val="{2755CA72-18F4-4DD5-AB6E-1B35484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6"/>
      <w:szCs w:val="26"/>
    </w:rPr>
  </w:style>
  <w:style w:type="paragraph" w:styleId="Heading3">
    <w:name w:val="heading 3"/>
    <w:uiPriority w:val="9"/>
    <w:semiHidden/>
    <w:unhideWhenUsed/>
    <w:qFormat/>
    <w:pPr>
      <w:spacing w:before="200" w:after="6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AB7"/>
    <w:pPr>
      <w:tabs>
        <w:tab w:val="center" w:pos="4680"/>
        <w:tab w:val="right" w:pos="9360"/>
      </w:tabs>
      <w:spacing w:line="240" w:lineRule="auto"/>
    </w:pPr>
  </w:style>
  <w:style w:type="character" w:customStyle="1" w:styleId="HeaderChar">
    <w:name w:val="Header Char"/>
    <w:basedOn w:val="DefaultParagraphFont"/>
    <w:link w:val="Header"/>
    <w:uiPriority w:val="99"/>
    <w:rsid w:val="00733AB7"/>
  </w:style>
  <w:style w:type="paragraph" w:styleId="Footer">
    <w:name w:val="footer"/>
    <w:basedOn w:val="Normal"/>
    <w:link w:val="FooterChar"/>
    <w:uiPriority w:val="99"/>
    <w:unhideWhenUsed/>
    <w:rsid w:val="00733AB7"/>
    <w:pPr>
      <w:tabs>
        <w:tab w:val="center" w:pos="4680"/>
        <w:tab w:val="right" w:pos="9360"/>
      </w:tabs>
      <w:spacing w:line="240" w:lineRule="auto"/>
    </w:pPr>
  </w:style>
  <w:style w:type="character" w:customStyle="1" w:styleId="FooterChar">
    <w:name w:val="Footer Char"/>
    <w:basedOn w:val="DefaultParagraphFont"/>
    <w:link w:val="Footer"/>
    <w:uiPriority w:val="99"/>
    <w:rsid w:val="00733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3550</Words>
  <Characters>20235</Characters>
  <Application>Microsoft Office Word</Application>
  <DocSecurity>0</DocSecurity>
  <Lines>168</Lines>
  <Paragraphs>47</Paragraphs>
  <ScaleCrop>false</ScaleCrop>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4</cp:revision>
  <dcterms:created xsi:type="dcterms:W3CDTF">2026-07-15T20:23:00Z</dcterms:created>
  <dcterms:modified xsi:type="dcterms:W3CDTF">2026-07-15T20:29:00Z</dcterms:modified>
</cp:coreProperties>
</file>