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A867" w14:textId="77777777" w:rsidR="00101345" w:rsidRDefault="00000000">
      <w:pPr>
        <w:spacing w:after="80"/>
        <w:jc w:val="center"/>
      </w:pPr>
      <w:r>
        <w:rPr>
          <w:b/>
          <w:bCs/>
          <w:color w:val="2E5FA3"/>
          <w:sz w:val="38"/>
          <w:szCs w:val="38"/>
        </w:rPr>
        <w:t>Did CPEC Boost FDI Inflows to Pakistan?</w:t>
      </w:r>
    </w:p>
    <w:p w14:paraId="5A245228" w14:textId="77777777" w:rsidR="00101345" w:rsidRDefault="00000000">
      <w:pPr>
        <w:spacing w:after="400"/>
        <w:jc w:val="center"/>
      </w:pPr>
      <w:r>
        <w:rPr>
          <w:i/>
          <w:iCs/>
          <w:color w:val="1F3864"/>
          <w:sz w:val="26"/>
          <w:szCs w:val="26"/>
        </w:rPr>
        <w:t>A Difference-in-Differences and Event Study Analysis</w:t>
      </w:r>
    </w:p>
    <w:p w14:paraId="3E70A119" w14:textId="77777777" w:rsidR="00101345" w:rsidRDefault="00101345">
      <w:pPr>
        <w:pBdr>
          <w:bottom w:val="single" w:sz="12" w:space="0" w:color="2E5FA3"/>
        </w:pBdr>
        <w:spacing w:after="300"/>
      </w:pPr>
    </w:p>
    <w:p w14:paraId="01E10A63" w14:textId="63FC92A2" w:rsidR="00101345" w:rsidRDefault="00000000">
      <w:pPr>
        <w:spacing w:after="80"/>
        <w:jc w:val="center"/>
      </w:pPr>
      <w:r>
        <w:rPr>
          <w:b/>
          <w:bCs/>
          <w:color w:val="1F3864"/>
        </w:rPr>
        <w:t xml:space="preserve">Author: </w:t>
      </w:r>
      <w:r>
        <w:t>Ahmer</w:t>
      </w:r>
      <w:r w:rsidR="00F322DF">
        <w:t xml:space="preserve"> Anwaar</w:t>
      </w:r>
    </w:p>
    <w:p w14:paraId="31582453" w14:textId="6B923601" w:rsidR="00101345" w:rsidRDefault="00000000">
      <w:pPr>
        <w:spacing w:after="80"/>
        <w:jc w:val="center"/>
      </w:pPr>
      <w:r>
        <w:rPr>
          <w:b/>
          <w:bCs/>
          <w:color w:val="1F3864"/>
        </w:rPr>
        <w:t xml:space="preserve">Programme: </w:t>
      </w:r>
      <w:r>
        <w:t xml:space="preserve">BS Economics </w:t>
      </w:r>
    </w:p>
    <w:p w14:paraId="5E4EE0FC" w14:textId="77777777" w:rsidR="00101345" w:rsidRDefault="00000000">
      <w:pPr>
        <w:spacing w:after="80"/>
        <w:jc w:val="center"/>
      </w:pPr>
      <w:r>
        <w:rPr>
          <w:b/>
          <w:bCs/>
          <w:color w:val="1F3864"/>
        </w:rPr>
        <w:t xml:space="preserve">Software: </w:t>
      </w:r>
      <w:r>
        <w:t>EViews 14 | R (ggplot2)</w:t>
      </w:r>
    </w:p>
    <w:p w14:paraId="131A11D8" w14:textId="77777777" w:rsidR="00101345" w:rsidRDefault="00000000">
      <w:pPr>
        <w:spacing w:after="80"/>
        <w:jc w:val="center"/>
      </w:pPr>
      <w:r>
        <w:rPr>
          <w:b/>
          <w:bCs/>
          <w:color w:val="1F3864"/>
        </w:rPr>
        <w:t xml:space="preserve">Data Sources: </w:t>
      </w:r>
      <w:r>
        <w:t>World Bank WDI &amp; WGI</w:t>
      </w:r>
    </w:p>
    <w:p w14:paraId="6A2B4D54" w14:textId="77777777" w:rsidR="00101345" w:rsidRDefault="00000000">
      <w:pPr>
        <w:spacing w:after="400"/>
        <w:jc w:val="center"/>
      </w:pPr>
      <w:r>
        <w:rPr>
          <w:b/>
          <w:bCs/>
          <w:color w:val="1F3864"/>
        </w:rPr>
        <w:t xml:space="preserve">Date: </w:t>
      </w:r>
      <w:r>
        <w:t>July 2025</w:t>
      </w:r>
    </w:p>
    <w:p w14:paraId="1A4282C2" w14:textId="77777777" w:rsidR="00101345" w:rsidRDefault="00000000">
      <w:r>
        <w:br w:type="page"/>
      </w:r>
    </w:p>
    <w:p w14:paraId="049F0DE5" w14:textId="77777777" w:rsidR="00101345" w:rsidRDefault="00000000">
      <w:pPr>
        <w:pStyle w:val="Heading1"/>
        <w:shd w:val="clear" w:color="auto" w:fill="1F3864"/>
        <w:spacing w:before="320" w:after="160"/>
        <w:ind w:left="144" w:right="144"/>
      </w:pPr>
      <w:r>
        <w:rPr>
          <w:b/>
          <w:bCs/>
          <w:color w:val="FFFFFF"/>
          <w:sz w:val="28"/>
          <w:szCs w:val="28"/>
        </w:rPr>
        <w:lastRenderedPageBreak/>
        <w:t>1. Introduction</w:t>
      </w:r>
    </w:p>
    <w:p w14:paraId="64E4AD42" w14:textId="77777777" w:rsidR="00101345" w:rsidRDefault="00101345">
      <w:pPr>
        <w:spacing w:after="80"/>
      </w:pPr>
    </w:p>
    <w:p w14:paraId="33D7971E" w14:textId="77777777" w:rsidR="00101345" w:rsidRDefault="00000000">
      <w:pPr>
        <w:spacing w:after="140" w:line="288" w:lineRule="auto"/>
        <w:jc w:val="both"/>
      </w:pPr>
      <w:r>
        <w:t>The China-Pakistan Economic Corridor (CPEC), formally announced in April 2015 during Chinese President Xi Jinping's state visit to Islamabad, represents one of the most ambitious bilateral investment programmes in Pakistan's post-independence history. With an initially publicised commitment of approximately $46 billion — later revised upward — CPEC encompasses energy infrastructure, transportation networks, industrial zones, and port development, centred on the deep-sea Gwadar port in Balochistan. A core expectation surrounding CPEC was that it would catalyse a sustained increase in foreign direct investment (FDI) inflows to Pakistan, by improving the physical investment climate and signalling geopolitical confidence in the country's economic trajectory.</w:t>
      </w:r>
    </w:p>
    <w:p w14:paraId="70CD2114" w14:textId="77777777" w:rsidR="00101345" w:rsidRDefault="00000000">
      <w:pPr>
        <w:spacing w:after="140" w:line="288" w:lineRule="auto"/>
        <w:jc w:val="both"/>
      </w:pPr>
      <w:r>
        <w:t>Despite this expectation, Pakistan's FDI record in the post-2015 period has remained modest relative to regional peers and relative to the scale of the CPEC announcement itself. This raises a fundamental empirical question: did CPEC actually produce a statistically significant and causally attributable increase in Pakistan's FDI inflows, or did other structural factors and global investment trends account for observable changes?</w:t>
      </w:r>
    </w:p>
    <w:p w14:paraId="087AEB8A" w14:textId="77777777" w:rsidR="00101345" w:rsidRDefault="00000000">
      <w:pPr>
        <w:spacing w:after="140" w:line="288" w:lineRule="auto"/>
        <w:jc w:val="both"/>
      </w:pPr>
      <w:r>
        <w:t>This project applies a Difference-in-Differences (DiD) research design — augmented with a year-by-year event study — to answer this question rigorously. The treatment unit is Pakistan, the treatment event is the CPEC announcement of 2015, and the control group consists of five structurally comparable developing economies: Bangladesh, Vietnam, Indonesia, the Philippines, and Cambodia. The sample covers the period 2005 to 2022, providing a ten-year pre-treatment window and an eight-year post-treatment window. This project constitutes the fifth in a series of applied econometric portfolio pieces, representing the causal inference component of the series.</w:t>
      </w:r>
    </w:p>
    <w:p w14:paraId="6EAAB691" w14:textId="77777777" w:rsidR="00101345" w:rsidRDefault="00101345">
      <w:pPr>
        <w:spacing w:after="80"/>
      </w:pPr>
    </w:p>
    <w:p w14:paraId="262AC3AD" w14:textId="77777777" w:rsidR="00101345" w:rsidRDefault="00000000">
      <w:pPr>
        <w:pStyle w:val="Heading1"/>
        <w:shd w:val="clear" w:color="auto" w:fill="1F3864"/>
        <w:spacing w:before="320" w:after="160"/>
        <w:ind w:left="144" w:right="144"/>
      </w:pPr>
      <w:r>
        <w:rPr>
          <w:b/>
          <w:bCs/>
          <w:color w:val="FFFFFF"/>
          <w:sz w:val="28"/>
          <w:szCs w:val="28"/>
        </w:rPr>
        <w:t>2. Research Design and Methodology</w:t>
      </w:r>
    </w:p>
    <w:p w14:paraId="51A18602" w14:textId="77777777" w:rsidR="00101345" w:rsidRDefault="00101345">
      <w:pPr>
        <w:spacing w:after="80"/>
      </w:pPr>
    </w:p>
    <w:p w14:paraId="3C9EE37A" w14:textId="77777777" w:rsidR="00101345" w:rsidRDefault="00000000">
      <w:pPr>
        <w:pStyle w:val="Heading2"/>
        <w:spacing w:before="200" w:after="100"/>
      </w:pPr>
      <w:r>
        <w:rPr>
          <w:b/>
          <w:bCs/>
          <w:color w:val="1F3864"/>
          <w:sz w:val="24"/>
          <w:szCs w:val="24"/>
          <w:u w:val="single"/>
        </w:rPr>
        <w:t>2.1 Research Question and Hypotheses</w:t>
      </w:r>
    </w:p>
    <w:p w14:paraId="3689969D" w14:textId="77777777" w:rsidR="00101345" w:rsidRDefault="00000000">
      <w:pPr>
        <w:spacing w:after="140" w:line="288" w:lineRule="auto"/>
        <w:jc w:val="both"/>
      </w:pPr>
      <w:r>
        <w:t>The central research question is: Did the announcement and early implementation of CPEC in 2015 cause a statistically significant increase in FDI inflows to Pakistan relative to a control group of structurally comparable developing economies?</w:t>
      </w:r>
    </w:p>
    <w:p w14:paraId="5763CFF6" w14:textId="77777777" w:rsidR="00101345" w:rsidRDefault="00000000">
      <w:pPr>
        <w:spacing w:after="80"/>
        <w:jc w:val="both"/>
      </w:pPr>
      <w:r>
        <w:rPr>
          <w:b/>
          <w:bCs/>
        </w:rPr>
        <w:t xml:space="preserve">H₀: </w:t>
      </w:r>
      <w:r>
        <w:t>The DiD estimator β₃ = 0. CPEC had no significant effect on Pakistan's FDI inflows relative to the control group.</w:t>
      </w:r>
    </w:p>
    <w:p w14:paraId="2B2E02C9" w14:textId="77777777" w:rsidR="00101345" w:rsidRDefault="00000000">
      <w:pPr>
        <w:spacing w:after="140"/>
        <w:jc w:val="both"/>
      </w:pPr>
      <w:r>
        <w:rPr>
          <w:b/>
          <w:bCs/>
        </w:rPr>
        <w:t xml:space="preserve">H₁: </w:t>
      </w:r>
      <w:r>
        <w:t>β₃ &gt; 0. CPEC caused a positive and significant increase in Pakistan's FDI inflows relative to the control group.</w:t>
      </w:r>
    </w:p>
    <w:p w14:paraId="1F2D9A82" w14:textId="77777777" w:rsidR="00101345" w:rsidRDefault="00000000">
      <w:pPr>
        <w:pStyle w:val="Heading2"/>
        <w:spacing w:before="200" w:after="100"/>
      </w:pPr>
      <w:r>
        <w:rPr>
          <w:b/>
          <w:bCs/>
          <w:color w:val="1F3864"/>
          <w:sz w:val="24"/>
          <w:szCs w:val="24"/>
          <w:u w:val="single"/>
        </w:rPr>
        <w:t>2.2 The Difference-in-Differences Framework</w:t>
      </w:r>
    </w:p>
    <w:p w14:paraId="338D3DA0" w14:textId="77777777" w:rsidR="00101345" w:rsidRDefault="00000000">
      <w:pPr>
        <w:spacing w:after="140" w:line="288" w:lineRule="auto"/>
        <w:jc w:val="both"/>
      </w:pPr>
      <w:r>
        <w:lastRenderedPageBreak/>
        <w:t>Difference-in-Differences is a quasi-experimental causal inference technique that compares the change in an outcome variable for a treatment unit before and after an intervention against the corresponding change for a control group over the same period. The DiD estimator removes two sources of bias: time-invariant country-level characteristics (captured by country fixed effects) and common time trends affecting all countries equally (captured by period fixed effects). The identifying assumption is the parallel trends assumption: in the absence of CPEC, Pakistan's FDI trajectory would have evolved parallel to the control group's trajectory in the post-treatment period.</w:t>
      </w:r>
    </w:p>
    <w:p w14:paraId="4C81F924" w14:textId="77777777" w:rsidR="00101345" w:rsidRDefault="00000000">
      <w:pPr>
        <w:spacing w:after="140" w:line="288" w:lineRule="auto"/>
        <w:jc w:val="both"/>
      </w:pPr>
      <w:r>
        <w:t>The standard DiD regression equation estimated in this study is:</w:t>
      </w:r>
    </w:p>
    <w:p w14:paraId="313FC800" w14:textId="77777777" w:rsidR="00101345" w:rsidRDefault="00000000">
      <w:pPr>
        <w:shd w:val="clear" w:color="auto" w:fill="D6E4F0"/>
        <w:spacing w:before="100" w:after="100"/>
        <w:ind w:left="432" w:right="432"/>
        <w:jc w:val="center"/>
      </w:pPr>
      <w:proofErr w:type="spellStart"/>
      <w:r>
        <w:rPr>
          <w:i/>
          <w:iCs/>
          <w:color w:val="1F3864"/>
        </w:rPr>
        <w:t>FDI_GDP_it</w:t>
      </w:r>
      <w:proofErr w:type="spellEnd"/>
      <w:r>
        <w:rPr>
          <w:i/>
          <w:iCs/>
          <w:color w:val="1F3864"/>
        </w:rPr>
        <w:t xml:space="preserve"> = α + β₁(</w:t>
      </w:r>
      <w:proofErr w:type="spellStart"/>
      <w:r>
        <w:rPr>
          <w:i/>
          <w:iCs/>
          <w:color w:val="1F3864"/>
        </w:rPr>
        <w:t>POST_t</w:t>
      </w:r>
      <w:proofErr w:type="spellEnd"/>
      <w:r>
        <w:rPr>
          <w:i/>
          <w:iCs/>
          <w:color w:val="1F3864"/>
        </w:rPr>
        <w:t>) + β₂(</w:t>
      </w:r>
      <w:proofErr w:type="spellStart"/>
      <w:r>
        <w:rPr>
          <w:i/>
          <w:iCs/>
          <w:color w:val="1F3864"/>
        </w:rPr>
        <w:t>TREAT_i</w:t>
      </w:r>
      <w:proofErr w:type="spellEnd"/>
      <w:r>
        <w:rPr>
          <w:i/>
          <w:iCs/>
          <w:color w:val="1F3864"/>
        </w:rPr>
        <w:t>) + β</w:t>
      </w:r>
      <w:proofErr w:type="gramStart"/>
      <w:r>
        <w:rPr>
          <w:i/>
          <w:iCs/>
          <w:color w:val="1F3864"/>
        </w:rPr>
        <w:t>₃(</w:t>
      </w:r>
      <w:proofErr w:type="spellStart"/>
      <w:proofErr w:type="gramEnd"/>
      <w:r>
        <w:rPr>
          <w:i/>
          <w:iCs/>
          <w:color w:val="1F3864"/>
        </w:rPr>
        <w:t>POST_t</w:t>
      </w:r>
      <w:proofErr w:type="spellEnd"/>
      <w:r>
        <w:rPr>
          <w:i/>
          <w:iCs/>
          <w:color w:val="1F3864"/>
        </w:rPr>
        <w:t xml:space="preserve"> × </w:t>
      </w:r>
      <w:proofErr w:type="spellStart"/>
      <w:r>
        <w:rPr>
          <w:i/>
          <w:iCs/>
          <w:color w:val="1F3864"/>
        </w:rPr>
        <w:t>TREAT_i</w:t>
      </w:r>
      <w:proofErr w:type="spellEnd"/>
      <w:r>
        <w:rPr>
          <w:i/>
          <w:iCs/>
          <w:color w:val="1F3864"/>
        </w:rPr>
        <w:t>) + β₄(</w:t>
      </w:r>
      <w:proofErr w:type="spellStart"/>
      <w:r>
        <w:rPr>
          <w:i/>
          <w:iCs/>
          <w:color w:val="1F3864"/>
        </w:rPr>
        <w:t>GDPGR_it</w:t>
      </w:r>
      <w:proofErr w:type="spellEnd"/>
      <w:r>
        <w:rPr>
          <w:i/>
          <w:iCs/>
          <w:color w:val="1F3864"/>
        </w:rPr>
        <w:t>) + β₅(</w:t>
      </w:r>
      <w:proofErr w:type="spellStart"/>
      <w:r>
        <w:rPr>
          <w:i/>
          <w:iCs/>
          <w:color w:val="1F3864"/>
        </w:rPr>
        <w:t>INF_it</w:t>
      </w:r>
      <w:proofErr w:type="spellEnd"/>
      <w:r>
        <w:rPr>
          <w:i/>
          <w:iCs/>
          <w:color w:val="1F3864"/>
        </w:rPr>
        <w:t>) + β₆(</w:t>
      </w:r>
      <w:proofErr w:type="spellStart"/>
      <w:r>
        <w:rPr>
          <w:i/>
          <w:iCs/>
          <w:color w:val="1F3864"/>
        </w:rPr>
        <w:t>TRADE_it</w:t>
      </w:r>
      <w:proofErr w:type="spellEnd"/>
      <w:r>
        <w:rPr>
          <w:i/>
          <w:iCs/>
          <w:color w:val="1F3864"/>
        </w:rPr>
        <w:t>) + β₇(</w:t>
      </w:r>
      <w:proofErr w:type="spellStart"/>
      <w:r>
        <w:rPr>
          <w:i/>
          <w:iCs/>
          <w:color w:val="1F3864"/>
        </w:rPr>
        <w:t>LGDPPC_it</w:t>
      </w:r>
      <w:proofErr w:type="spellEnd"/>
      <w:r>
        <w:rPr>
          <w:i/>
          <w:iCs/>
          <w:color w:val="1F3864"/>
        </w:rPr>
        <w:t>) + β₈(</w:t>
      </w:r>
      <w:proofErr w:type="spellStart"/>
      <w:r>
        <w:rPr>
          <w:i/>
          <w:iCs/>
          <w:color w:val="1F3864"/>
        </w:rPr>
        <w:t>INFRA_it</w:t>
      </w:r>
      <w:proofErr w:type="spellEnd"/>
      <w:r>
        <w:rPr>
          <w:i/>
          <w:iCs/>
          <w:color w:val="1F3864"/>
        </w:rPr>
        <w:t>) + β₉(</w:t>
      </w:r>
      <w:proofErr w:type="spellStart"/>
      <w:r>
        <w:rPr>
          <w:i/>
          <w:iCs/>
          <w:color w:val="1F3864"/>
        </w:rPr>
        <w:t>FINDEV_it</w:t>
      </w:r>
      <w:proofErr w:type="spellEnd"/>
      <w:r>
        <w:rPr>
          <w:i/>
          <w:iCs/>
          <w:color w:val="1F3864"/>
        </w:rPr>
        <w:t>) + β₁₀(</w:t>
      </w:r>
      <w:proofErr w:type="spellStart"/>
      <w:r>
        <w:rPr>
          <w:i/>
          <w:iCs/>
          <w:color w:val="1F3864"/>
        </w:rPr>
        <w:t>POLSTAB_it</w:t>
      </w:r>
      <w:proofErr w:type="spellEnd"/>
      <w:r>
        <w:rPr>
          <w:i/>
          <w:iCs/>
          <w:color w:val="1F3864"/>
        </w:rPr>
        <w:t xml:space="preserve">) + </w:t>
      </w:r>
      <w:proofErr w:type="spellStart"/>
      <w:r>
        <w:rPr>
          <w:i/>
          <w:iCs/>
          <w:color w:val="1F3864"/>
        </w:rPr>
        <w:t>ε_it</w:t>
      </w:r>
      <w:proofErr w:type="spellEnd"/>
    </w:p>
    <w:p w14:paraId="76E86D61" w14:textId="77777777" w:rsidR="00101345" w:rsidRDefault="00000000">
      <w:pPr>
        <w:spacing w:after="140" w:line="288" w:lineRule="auto"/>
        <w:jc w:val="both"/>
      </w:pPr>
      <w:r>
        <w:t>where the coefficient β₃ on the interaction term (POST × TREAT) is the DiD estimator of primary interest. In the two-way fixed effects specification, the standalone POST and TREAT dummies are absorbed by the fixed effects and dropped from the equation to avoid perfect multicollinearity.</w:t>
      </w:r>
    </w:p>
    <w:p w14:paraId="4DB92A15" w14:textId="77777777" w:rsidR="00101345" w:rsidRDefault="00000000">
      <w:pPr>
        <w:pStyle w:val="Heading2"/>
        <w:spacing w:before="200" w:after="100"/>
      </w:pPr>
      <w:r>
        <w:rPr>
          <w:b/>
          <w:bCs/>
          <w:color w:val="1F3864"/>
          <w:sz w:val="24"/>
          <w:szCs w:val="24"/>
          <w:u w:val="single"/>
        </w:rPr>
        <w:t>2.3 Event Study Extension</w:t>
      </w:r>
    </w:p>
    <w:p w14:paraId="53904D9B" w14:textId="77777777" w:rsidR="00101345" w:rsidRDefault="00000000">
      <w:pPr>
        <w:spacing w:after="140" w:line="288" w:lineRule="auto"/>
        <w:jc w:val="both"/>
      </w:pPr>
      <w:r>
        <w:t>The event study extends the standard DiD by replacing the single interaction term with a vector of year-specific interaction terms between each year dummy and the treatment indicator, with 2014 (the year immediately preceding treatment) omitted as the base year. This yields a coefficient for each year relative to 2014, allowing: (</w:t>
      </w:r>
      <w:proofErr w:type="spellStart"/>
      <w:r>
        <w:t>i</w:t>
      </w:r>
      <w:proofErr w:type="spellEnd"/>
      <w:r>
        <w:t xml:space="preserve">) a formal pre-trend test — pre-treatment coefficients should be statistically indistinguishable from zero if parallel trends </w:t>
      </w:r>
      <w:proofErr w:type="gramStart"/>
      <w:r>
        <w:t>holds</w:t>
      </w:r>
      <w:proofErr w:type="gramEnd"/>
      <w:r>
        <w:t>; and (ii) a year-by-year picture of how the treatment effect evolved after CPEC's announcement.</w:t>
      </w:r>
    </w:p>
    <w:p w14:paraId="61FE1550" w14:textId="77777777" w:rsidR="00101345" w:rsidRDefault="00000000">
      <w:pPr>
        <w:pStyle w:val="Heading2"/>
        <w:spacing w:before="200" w:after="100"/>
      </w:pPr>
      <w:r>
        <w:rPr>
          <w:b/>
          <w:bCs/>
          <w:color w:val="1F3864"/>
          <w:sz w:val="24"/>
          <w:szCs w:val="24"/>
          <w:u w:val="single"/>
        </w:rPr>
        <w:t>2.4 Control Group Selection</w:t>
      </w:r>
    </w:p>
    <w:p w14:paraId="6B848E61" w14:textId="77777777" w:rsidR="00101345" w:rsidRDefault="00000000">
      <w:pPr>
        <w:spacing w:after="140" w:line="288" w:lineRule="auto"/>
        <w:jc w:val="both"/>
      </w:pPr>
      <w:r>
        <w:t xml:space="preserve">Control group selection is the most consequential design choice in any DiD study, as it determines the credibility of the parallel </w:t>
      </w:r>
      <w:proofErr w:type="gramStart"/>
      <w:r>
        <w:t>trends</w:t>
      </w:r>
      <w:proofErr w:type="gramEnd"/>
      <w:r>
        <w:t xml:space="preserve"> assumption. Countries were selected based on three criteria: structural comparability with Pakistan in terms of income level and development stage; absence of a comparable Chinese infrastructure investment commitment around the 2015 treatment window; and data completeness over the full 2005–2022 sample.</w:t>
      </w:r>
    </w:p>
    <w:p w14:paraId="40395398" w14:textId="1A57BD05" w:rsidR="00101345" w:rsidRDefault="00000000" w:rsidP="00170FC1">
      <w:pPr>
        <w:spacing w:after="140" w:line="288" w:lineRule="auto"/>
        <w:jc w:val="both"/>
      </w:pPr>
      <w:r>
        <w:t xml:space="preserve">India was excluded due to its explicit rejection of the Belt and Road Initiative on sovereignty grounds, meaning its post-2015 FDI trajectory is partly shaped by opposition to CPEC-affiliated policy — a contamination risk. Sri Lanka was excluded following verification that it received massive Chinese sovereign infrastructure loans (including the Hambantota port, financed by a $1.2 billion China Ex-Im Bank loan) around the same 2015 window, effectively constituting a CPEC-like treatment of its own. Egypt, Morocco, and Kenya were excluded on grounds of structural dissimilarity. Vietnam was retained despite holding AIIB membership, as it exhibited no BRI-labelled projects and limited uptake of BRI sovereign loans, </w:t>
      </w:r>
      <w:proofErr w:type="spellStart"/>
      <w:r>
        <w:t>characterised</w:t>
      </w:r>
      <w:proofErr w:type="spellEnd"/>
      <w:r>
        <w:t xml:space="preserve"> in the literature as 'passive resistance' to the overarching BRI framework. The final control group of five countries — Bangladesh, Vietnam, Indonesia, Philippines, and Cambodia — provides adequate observations for two-way fixed effects estimation while maintaining structural comparability.</w:t>
      </w:r>
    </w:p>
    <w:p w14:paraId="7248C7AE" w14:textId="77777777" w:rsidR="00101345" w:rsidRDefault="00000000">
      <w:pPr>
        <w:pStyle w:val="Heading1"/>
        <w:shd w:val="clear" w:color="auto" w:fill="1F3864"/>
        <w:spacing w:before="320" w:after="160"/>
        <w:ind w:left="144" w:right="144"/>
      </w:pPr>
      <w:r>
        <w:rPr>
          <w:b/>
          <w:bCs/>
          <w:color w:val="FFFFFF"/>
          <w:sz w:val="28"/>
          <w:szCs w:val="28"/>
        </w:rPr>
        <w:lastRenderedPageBreak/>
        <w:t>3. Data and Variable Description</w:t>
      </w:r>
    </w:p>
    <w:p w14:paraId="6D2159C4" w14:textId="77777777" w:rsidR="00101345" w:rsidRDefault="00101345">
      <w:pPr>
        <w:spacing w:after="80"/>
      </w:pPr>
    </w:p>
    <w:p w14:paraId="337DA246" w14:textId="77777777" w:rsidR="00101345" w:rsidRDefault="00000000">
      <w:pPr>
        <w:pStyle w:val="Heading2"/>
        <w:spacing w:before="200" w:after="100"/>
      </w:pPr>
      <w:r>
        <w:rPr>
          <w:b/>
          <w:bCs/>
          <w:color w:val="1F3864"/>
          <w:sz w:val="24"/>
          <w:szCs w:val="24"/>
          <w:u w:val="single"/>
        </w:rPr>
        <w:t>3.1 Sample</w:t>
      </w:r>
    </w:p>
    <w:p w14:paraId="75C72AD2" w14:textId="77777777" w:rsidR="00101345" w:rsidRDefault="00000000">
      <w:pPr>
        <w:spacing w:after="140" w:line="288" w:lineRule="auto"/>
        <w:jc w:val="both"/>
      </w:pPr>
      <w:r>
        <w:t>The dataset covers six countries (Pakistan plus five controls) over the period 2005–2022, yielding a perfectly balanced panel of 108 observations. Annual data are sourced from the World Bank World Development Indicators (WDI) and the Worldwide Governance Indicators (WGI). All monetary variables are expressed in current US dollars or as ratios to GDP to ensure cross-country comparability.</w:t>
      </w:r>
    </w:p>
    <w:p w14:paraId="74C2C0DB" w14:textId="77777777" w:rsidR="00101345" w:rsidRDefault="00000000">
      <w:pPr>
        <w:pStyle w:val="Heading2"/>
        <w:spacing w:before="200" w:after="100"/>
      </w:pPr>
      <w:r>
        <w:rPr>
          <w:b/>
          <w:bCs/>
          <w:color w:val="1F3864"/>
          <w:sz w:val="24"/>
          <w:szCs w:val="24"/>
          <w:u w:val="single"/>
        </w:rPr>
        <w:t>3.2 Variable Definitions</w:t>
      </w:r>
    </w:p>
    <w:p w14:paraId="6E6D9A73" w14:textId="77777777" w:rsidR="00101345" w:rsidRDefault="001013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800"/>
        <w:gridCol w:w="2760"/>
      </w:tblGrid>
      <w:tr w:rsidR="00101345" w14:paraId="6BEDDD03"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7DCB2895" w14:textId="77777777" w:rsidR="00101345" w:rsidRDefault="00000000">
            <w:pPr>
              <w:spacing w:before="60" w:after="60"/>
              <w:jc w:val="center"/>
            </w:pPr>
            <w:r>
              <w:rPr>
                <w:b/>
                <w:bCs/>
                <w:color w:val="FFFFFF"/>
                <w:sz w:val="20"/>
                <w:szCs w:val="20"/>
              </w:rPr>
              <w:t>Variable</w:t>
            </w:r>
          </w:p>
        </w:tc>
        <w:tc>
          <w:tcPr>
            <w:tcW w:w="2800" w:type="dxa"/>
            <w:shd w:val="clear" w:color="auto" w:fill="1F3864"/>
            <w:tcMar>
              <w:top w:w="80" w:type="dxa"/>
              <w:left w:w="120" w:type="dxa"/>
              <w:bottom w:w="80" w:type="dxa"/>
              <w:right w:w="120" w:type="dxa"/>
            </w:tcMar>
            <w:vAlign w:val="center"/>
          </w:tcPr>
          <w:p w14:paraId="75E0D13D" w14:textId="77777777" w:rsidR="00101345" w:rsidRDefault="00000000">
            <w:pPr>
              <w:spacing w:before="60" w:after="60"/>
              <w:jc w:val="center"/>
            </w:pPr>
            <w:r>
              <w:rPr>
                <w:b/>
                <w:bCs/>
                <w:color w:val="FFFFFF"/>
                <w:sz w:val="20"/>
                <w:szCs w:val="20"/>
              </w:rPr>
              <w:t>Definition</w:t>
            </w:r>
          </w:p>
        </w:tc>
        <w:tc>
          <w:tcPr>
            <w:tcW w:w="1800" w:type="dxa"/>
            <w:shd w:val="clear" w:color="auto" w:fill="1F3864"/>
            <w:tcMar>
              <w:top w:w="80" w:type="dxa"/>
              <w:left w:w="120" w:type="dxa"/>
              <w:bottom w:w="80" w:type="dxa"/>
              <w:right w:w="120" w:type="dxa"/>
            </w:tcMar>
            <w:vAlign w:val="center"/>
          </w:tcPr>
          <w:p w14:paraId="4CC80DC4" w14:textId="77777777" w:rsidR="00101345" w:rsidRDefault="00000000">
            <w:pPr>
              <w:spacing w:before="60" w:after="60"/>
              <w:jc w:val="center"/>
            </w:pPr>
            <w:r>
              <w:rPr>
                <w:b/>
                <w:bCs/>
                <w:color w:val="FFFFFF"/>
                <w:sz w:val="20"/>
                <w:szCs w:val="20"/>
              </w:rPr>
              <w:t>Expected Sign</w:t>
            </w:r>
          </w:p>
        </w:tc>
        <w:tc>
          <w:tcPr>
            <w:tcW w:w="2760" w:type="dxa"/>
            <w:shd w:val="clear" w:color="auto" w:fill="1F3864"/>
            <w:tcMar>
              <w:top w:w="80" w:type="dxa"/>
              <w:left w:w="120" w:type="dxa"/>
              <w:bottom w:w="80" w:type="dxa"/>
              <w:right w:w="120" w:type="dxa"/>
            </w:tcMar>
            <w:vAlign w:val="center"/>
          </w:tcPr>
          <w:p w14:paraId="31C4F4BE" w14:textId="77777777" w:rsidR="00101345" w:rsidRDefault="00000000">
            <w:pPr>
              <w:spacing w:before="60" w:after="60"/>
              <w:jc w:val="center"/>
            </w:pPr>
            <w:r>
              <w:rPr>
                <w:b/>
                <w:bCs/>
                <w:color w:val="FFFFFF"/>
                <w:sz w:val="20"/>
                <w:szCs w:val="20"/>
              </w:rPr>
              <w:t>Source</w:t>
            </w:r>
          </w:p>
        </w:tc>
      </w:tr>
      <w:tr w:rsidR="00101345" w14:paraId="62A5F115" w14:textId="77777777">
        <w:tblPrEx>
          <w:tblCellMar>
            <w:top w:w="0" w:type="dxa"/>
            <w:bottom w:w="0" w:type="dxa"/>
          </w:tblCellMar>
        </w:tblPrEx>
        <w:tc>
          <w:tcPr>
            <w:tcW w:w="2000" w:type="dxa"/>
            <w:shd w:val="clear" w:color="auto" w:fill="D6E4F0"/>
            <w:tcMar>
              <w:top w:w="80" w:type="dxa"/>
              <w:left w:w="120" w:type="dxa"/>
              <w:bottom w:w="80" w:type="dxa"/>
              <w:right w:w="120" w:type="dxa"/>
            </w:tcMar>
            <w:vAlign w:val="center"/>
          </w:tcPr>
          <w:p w14:paraId="1F449A94" w14:textId="77777777" w:rsidR="00101345" w:rsidRDefault="00000000">
            <w:pPr>
              <w:spacing w:before="60" w:after="60"/>
            </w:pPr>
            <w:r>
              <w:rPr>
                <w:sz w:val="20"/>
                <w:szCs w:val="20"/>
              </w:rPr>
              <w:t>FDI_GDP</w:t>
            </w:r>
          </w:p>
        </w:tc>
        <w:tc>
          <w:tcPr>
            <w:tcW w:w="2800" w:type="dxa"/>
            <w:tcMar>
              <w:top w:w="80" w:type="dxa"/>
              <w:left w:w="120" w:type="dxa"/>
              <w:bottom w:w="80" w:type="dxa"/>
              <w:right w:w="120" w:type="dxa"/>
            </w:tcMar>
            <w:vAlign w:val="center"/>
          </w:tcPr>
          <w:p w14:paraId="25EAD531" w14:textId="77777777" w:rsidR="00101345" w:rsidRDefault="00000000">
            <w:pPr>
              <w:spacing w:before="60" w:after="60"/>
            </w:pPr>
            <w:r>
              <w:rPr>
                <w:sz w:val="20"/>
                <w:szCs w:val="20"/>
              </w:rPr>
              <w:t>FDI net inflows (% of GDP) — dependent variable</w:t>
            </w:r>
          </w:p>
        </w:tc>
        <w:tc>
          <w:tcPr>
            <w:tcW w:w="1800" w:type="dxa"/>
            <w:tcMar>
              <w:top w:w="80" w:type="dxa"/>
              <w:left w:w="120" w:type="dxa"/>
              <w:bottom w:w="80" w:type="dxa"/>
              <w:right w:w="120" w:type="dxa"/>
            </w:tcMar>
            <w:vAlign w:val="center"/>
          </w:tcPr>
          <w:p w14:paraId="3D017FD5" w14:textId="77777777" w:rsidR="00101345" w:rsidRDefault="00000000">
            <w:pPr>
              <w:spacing w:before="60" w:after="60"/>
              <w:jc w:val="center"/>
            </w:pPr>
            <w:r>
              <w:rPr>
                <w:sz w:val="20"/>
                <w:szCs w:val="20"/>
              </w:rPr>
              <w:t>—</w:t>
            </w:r>
          </w:p>
        </w:tc>
        <w:tc>
          <w:tcPr>
            <w:tcW w:w="2760" w:type="dxa"/>
            <w:tcMar>
              <w:top w:w="80" w:type="dxa"/>
              <w:left w:w="120" w:type="dxa"/>
              <w:bottom w:w="80" w:type="dxa"/>
              <w:right w:w="120" w:type="dxa"/>
            </w:tcMar>
            <w:vAlign w:val="center"/>
          </w:tcPr>
          <w:p w14:paraId="7D91EFB5" w14:textId="77777777" w:rsidR="00101345" w:rsidRDefault="00000000">
            <w:pPr>
              <w:spacing w:before="60" w:after="60"/>
            </w:pPr>
            <w:r>
              <w:rPr>
                <w:sz w:val="20"/>
                <w:szCs w:val="20"/>
              </w:rPr>
              <w:t>World Bank WDI</w:t>
            </w:r>
          </w:p>
        </w:tc>
      </w:tr>
      <w:tr w:rsidR="00101345" w14:paraId="6234F3E5"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131E9610" w14:textId="77777777" w:rsidR="00101345" w:rsidRDefault="00000000">
            <w:pPr>
              <w:spacing w:before="60" w:after="60"/>
            </w:pPr>
            <w:r>
              <w:rPr>
                <w:sz w:val="20"/>
                <w:szCs w:val="20"/>
              </w:rPr>
              <w:t>POST</w:t>
            </w:r>
          </w:p>
        </w:tc>
        <w:tc>
          <w:tcPr>
            <w:tcW w:w="2800" w:type="dxa"/>
            <w:shd w:val="clear" w:color="auto" w:fill="F2F2F2"/>
            <w:tcMar>
              <w:top w:w="80" w:type="dxa"/>
              <w:left w:w="120" w:type="dxa"/>
              <w:bottom w:w="80" w:type="dxa"/>
              <w:right w:w="120" w:type="dxa"/>
            </w:tcMar>
            <w:vAlign w:val="center"/>
          </w:tcPr>
          <w:p w14:paraId="176F98B7" w14:textId="77777777" w:rsidR="00101345" w:rsidRDefault="00000000">
            <w:pPr>
              <w:spacing w:before="60" w:after="60"/>
            </w:pPr>
            <w:r>
              <w:rPr>
                <w:sz w:val="20"/>
                <w:szCs w:val="20"/>
              </w:rPr>
              <w:t>Dummy = 1 for 2015–2022, 0 for 2005–2014</w:t>
            </w:r>
          </w:p>
        </w:tc>
        <w:tc>
          <w:tcPr>
            <w:tcW w:w="1800" w:type="dxa"/>
            <w:shd w:val="clear" w:color="auto" w:fill="F2F2F2"/>
            <w:tcMar>
              <w:top w:w="80" w:type="dxa"/>
              <w:left w:w="120" w:type="dxa"/>
              <w:bottom w:w="80" w:type="dxa"/>
              <w:right w:w="120" w:type="dxa"/>
            </w:tcMar>
            <w:vAlign w:val="center"/>
          </w:tcPr>
          <w:p w14:paraId="2F426119" w14:textId="77777777" w:rsidR="00101345" w:rsidRDefault="00000000">
            <w:pPr>
              <w:spacing w:before="60" w:after="60"/>
              <w:jc w:val="center"/>
            </w:pPr>
            <w:r>
              <w:rPr>
                <w:sz w:val="20"/>
                <w:szCs w:val="20"/>
              </w:rPr>
              <w:t>+</w:t>
            </w:r>
          </w:p>
        </w:tc>
        <w:tc>
          <w:tcPr>
            <w:tcW w:w="2760" w:type="dxa"/>
            <w:shd w:val="clear" w:color="auto" w:fill="F2F2F2"/>
            <w:tcMar>
              <w:top w:w="80" w:type="dxa"/>
              <w:left w:w="120" w:type="dxa"/>
              <w:bottom w:w="80" w:type="dxa"/>
              <w:right w:w="120" w:type="dxa"/>
            </w:tcMar>
            <w:vAlign w:val="center"/>
          </w:tcPr>
          <w:p w14:paraId="2093D3E6" w14:textId="77777777" w:rsidR="00101345" w:rsidRDefault="00000000">
            <w:pPr>
              <w:spacing w:before="60" w:after="60"/>
            </w:pPr>
            <w:r>
              <w:rPr>
                <w:sz w:val="20"/>
                <w:szCs w:val="20"/>
              </w:rPr>
              <w:t>Constructed</w:t>
            </w:r>
          </w:p>
        </w:tc>
      </w:tr>
      <w:tr w:rsidR="00101345" w14:paraId="307E7396" w14:textId="77777777">
        <w:tblPrEx>
          <w:tblCellMar>
            <w:top w:w="0" w:type="dxa"/>
            <w:bottom w:w="0" w:type="dxa"/>
          </w:tblCellMar>
        </w:tblPrEx>
        <w:tc>
          <w:tcPr>
            <w:tcW w:w="2000" w:type="dxa"/>
            <w:shd w:val="clear" w:color="auto" w:fill="D6E4F0"/>
            <w:tcMar>
              <w:top w:w="80" w:type="dxa"/>
              <w:left w:w="120" w:type="dxa"/>
              <w:bottom w:w="80" w:type="dxa"/>
              <w:right w:w="120" w:type="dxa"/>
            </w:tcMar>
            <w:vAlign w:val="center"/>
          </w:tcPr>
          <w:p w14:paraId="247D9420" w14:textId="77777777" w:rsidR="00101345" w:rsidRDefault="00000000">
            <w:pPr>
              <w:spacing w:before="60" w:after="60"/>
            </w:pPr>
            <w:r>
              <w:rPr>
                <w:sz w:val="20"/>
                <w:szCs w:val="20"/>
              </w:rPr>
              <w:t>TREAT</w:t>
            </w:r>
          </w:p>
        </w:tc>
        <w:tc>
          <w:tcPr>
            <w:tcW w:w="2800" w:type="dxa"/>
            <w:tcMar>
              <w:top w:w="80" w:type="dxa"/>
              <w:left w:w="120" w:type="dxa"/>
              <w:bottom w:w="80" w:type="dxa"/>
              <w:right w:w="120" w:type="dxa"/>
            </w:tcMar>
            <w:vAlign w:val="center"/>
          </w:tcPr>
          <w:p w14:paraId="00A853BD" w14:textId="77777777" w:rsidR="00101345" w:rsidRDefault="00000000">
            <w:pPr>
              <w:spacing w:before="60" w:after="60"/>
            </w:pPr>
            <w:r>
              <w:rPr>
                <w:sz w:val="20"/>
                <w:szCs w:val="20"/>
              </w:rPr>
              <w:t>Dummy = 1 for Pakistan, 0 for control countries</w:t>
            </w:r>
          </w:p>
        </w:tc>
        <w:tc>
          <w:tcPr>
            <w:tcW w:w="1800" w:type="dxa"/>
            <w:tcMar>
              <w:top w:w="80" w:type="dxa"/>
              <w:left w:w="120" w:type="dxa"/>
              <w:bottom w:w="80" w:type="dxa"/>
              <w:right w:w="120" w:type="dxa"/>
            </w:tcMar>
            <w:vAlign w:val="center"/>
          </w:tcPr>
          <w:p w14:paraId="54A13168" w14:textId="77777777" w:rsidR="00101345" w:rsidRDefault="00000000">
            <w:pPr>
              <w:spacing w:before="60" w:after="60"/>
              <w:jc w:val="center"/>
            </w:pPr>
            <w:r>
              <w:rPr>
                <w:sz w:val="20"/>
                <w:szCs w:val="20"/>
              </w:rPr>
              <w:t>+</w:t>
            </w:r>
          </w:p>
        </w:tc>
        <w:tc>
          <w:tcPr>
            <w:tcW w:w="2760" w:type="dxa"/>
            <w:tcMar>
              <w:top w:w="80" w:type="dxa"/>
              <w:left w:w="120" w:type="dxa"/>
              <w:bottom w:w="80" w:type="dxa"/>
              <w:right w:w="120" w:type="dxa"/>
            </w:tcMar>
            <w:vAlign w:val="center"/>
          </w:tcPr>
          <w:p w14:paraId="46F14204" w14:textId="77777777" w:rsidR="00101345" w:rsidRDefault="00000000">
            <w:pPr>
              <w:spacing w:before="60" w:after="60"/>
            </w:pPr>
            <w:r>
              <w:rPr>
                <w:sz w:val="20"/>
                <w:szCs w:val="20"/>
              </w:rPr>
              <w:t>Constructed</w:t>
            </w:r>
          </w:p>
        </w:tc>
      </w:tr>
      <w:tr w:rsidR="00101345" w14:paraId="1E7B7558"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7E251D0D" w14:textId="77777777" w:rsidR="00101345" w:rsidRDefault="00000000">
            <w:pPr>
              <w:spacing w:before="60" w:after="60"/>
            </w:pPr>
            <w:r>
              <w:rPr>
                <w:sz w:val="20"/>
                <w:szCs w:val="20"/>
              </w:rPr>
              <w:t>DID</w:t>
            </w:r>
          </w:p>
        </w:tc>
        <w:tc>
          <w:tcPr>
            <w:tcW w:w="2800" w:type="dxa"/>
            <w:shd w:val="clear" w:color="auto" w:fill="F2F2F2"/>
            <w:tcMar>
              <w:top w:w="80" w:type="dxa"/>
              <w:left w:w="120" w:type="dxa"/>
              <w:bottom w:w="80" w:type="dxa"/>
              <w:right w:w="120" w:type="dxa"/>
            </w:tcMar>
            <w:vAlign w:val="center"/>
          </w:tcPr>
          <w:p w14:paraId="70D87A93" w14:textId="77777777" w:rsidR="00101345" w:rsidRDefault="00000000">
            <w:pPr>
              <w:spacing w:before="60" w:after="60"/>
            </w:pPr>
            <w:r>
              <w:rPr>
                <w:sz w:val="20"/>
                <w:szCs w:val="20"/>
              </w:rPr>
              <w:t>POST × TREAT — the DiD estimator</w:t>
            </w:r>
          </w:p>
        </w:tc>
        <w:tc>
          <w:tcPr>
            <w:tcW w:w="1800" w:type="dxa"/>
            <w:shd w:val="clear" w:color="auto" w:fill="F2F2F2"/>
            <w:tcMar>
              <w:top w:w="80" w:type="dxa"/>
              <w:left w:w="120" w:type="dxa"/>
              <w:bottom w:w="80" w:type="dxa"/>
              <w:right w:w="120" w:type="dxa"/>
            </w:tcMar>
            <w:vAlign w:val="center"/>
          </w:tcPr>
          <w:p w14:paraId="3BE3472C" w14:textId="77777777" w:rsidR="00101345" w:rsidRDefault="00000000">
            <w:pPr>
              <w:spacing w:before="60" w:after="60"/>
              <w:jc w:val="center"/>
            </w:pPr>
            <w:r>
              <w:rPr>
                <w:sz w:val="20"/>
                <w:szCs w:val="20"/>
              </w:rPr>
              <w:t>+</w:t>
            </w:r>
          </w:p>
        </w:tc>
        <w:tc>
          <w:tcPr>
            <w:tcW w:w="2760" w:type="dxa"/>
            <w:shd w:val="clear" w:color="auto" w:fill="F2F2F2"/>
            <w:tcMar>
              <w:top w:w="80" w:type="dxa"/>
              <w:left w:w="120" w:type="dxa"/>
              <w:bottom w:w="80" w:type="dxa"/>
              <w:right w:w="120" w:type="dxa"/>
            </w:tcMar>
            <w:vAlign w:val="center"/>
          </w:tcPr>
          <w:p w14:paraId="192E40DF" w14:textId="77777777" w:rsidR="00101345" w:rsidRDefault="00000000">
            <w:pPr>
              <w:spacing w:before="60" w:after="60"/>
            </w:pPr>
            <w:r>
              <w:rPr>
                <w:sz w:val="20"/>
                <w:szCs w:val="20"/>
              </w:rPr>
              <w:t>Constructed</w:t>
            </w:r>
          </w:p>
        </w:tc>
      </w:tr>
      <w:tr w:rsidR="00101345" w14:paraId="687B2D60" w14:textId="77777777">
        <w:tblPrEx>
          <w:tblCellMar>
            <w:top w:w="0" w:type="dxa"/>
            <w:bottom w:w="0" w:type="dxa"/>
          </w:tblCellMar>
        </w:tblPrEx>
        <w:tc>
          <w:tcPr>
            <w:tcW w:w="2000" w:type="dxa"/>
            <w:shd w:val="clear" w:color="auto" w:fill="D6E4F0"/>
            <w:tcMar>
              <w:top w:w="80" w:type="dxa"/>
              <w:left w:w="120" w:type="dxa"/>
              <w:bottom w:w="80" w:type="dxa"/>
              <w:right w:w="120" w:type="dxa"/>
            </w:tcMar>
            <w:vAlign w:val="center"/>
          </w:tcPr>
          <w:p w14:paraId="01516BA4" w14:textId="77777777" w:rsidR="00101345" w:rsidRDefault="00000000">
            <w:pPr>
              <w:spacing w:before="60" w:after="60"/>
            </w:pPr>
            <w:r>
              <w:rPr>
                <w:sz w:val="20"/>
                <w:szCs w:val="20"/>
              </w:rPr>
              <w:t>GDPGR</w:t>
            </w:r>
          </w:p>
        </w:tc>
        <w:tc>
          <w:tcPr>
            <w:tcW w:w="2800" w:type="dxa"/>
            <w:tcMar>
              <w:top w:w="80" w:type="dxa"/>
              <w:left w:w="120" w:type="dxa"/>
              <w:bottom w:w="80" w:type="dxa"/>
              <w:right w:w="120" w:type="dxa"/>
            </w:tcMar>
            <w:vAlign w:val="center"/>
          </w:tcPr>
          <w:p w14:paraId="2B9B2EAC" w14:textId="77777777" w:rsidR="00101345" w:rsidRDefault="00000000">
            <w:pPr>
              <w:spacing w:before="60" w:after="60"/>
            </w:pPr>
            <w:r>
              <w:rPr>
                <w:sz w:val="20"/>
                <w:szCs w:val="20"/>
              </w:rPr>
              <w:t>GDP growth rate (annual %)</w:t>
            </w:r>
          </w:p>
        </w:tc>
        <w:tc>
          <w:tcPr>
            <w:tcW w:w="1800" w:type="dxa"/>
            <w:tcMar>
              <w:top w:w="80" w:type="dxa"/>
              <w:left w:w="120" w:type="dxa"/>
              <w:bottom w:w="80" w:type="dxa"/>
              <w:right w:w="120" w:type="dxa"/>
            </w:tcMar>
            <w:vAlign w:val="center"/>
          </w:tcPr>
          <w:p w14:paraId="7B5A49E2" w14:textId="77777777" w:rsidR="00101345" w:rsidRDefault="00000000">
            <w:pPr>
              <w:spacing w:before="60" w:after="60"/>
              <w:jc w:val="center"/>
            </w:pPr>
            <w:r>
              <w:rPr>
                <w:sz w:val="20"/>
                <w:szCs w:val="20"/>
              </w:rPr>
              <w:t>+</w:t>
            </w:r>
          </w:p>
        </w:tc>
        <w:tc>
          <w:tcPr>
            <w:tcW w:w="2760" w:type="dxa"/>
            <w:tcMar>
              <w:top w:w="80" w:type="dxa"/>
              <w:left w:w="120" w:type="dxa"/>
              <w:bottom w:w="80" w:type="dxa"/>
              <w:right w:w="120" w:type="dxa"/>
            </w:tcMar>
            <w:vAlign w:val="center"/>
          </w:tcPr>
          <w:p w14:paraId="51D160CB" w14:textId="77777777" w:rsidR="00101345" w:rsidRDefault="00000000">
            <w:pPr>
              <w:spacing w:before="60" w:after="60"/>
            </w:pPr>
            <w:r>
              <w:rPr>
                <w:sz w:val="20"/>
                <w:szCs w:val="20"/>
              </w:rPr>
              <w:t>World Bank WDI</w:t>
            </w:r>
          </w:p>
        </w:tc>
      </w:tr>
      <w:tr w:rsidR="00101345" w14:paraId="12771738"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5888AFB7" w14:textId="77777777" w:rsidR="00101345" w:rsidRDefault="00000000">
            <w:pPr>
              <w:spacing w:before="60" w:after="60"/>
            </w:pPr>
            <w:r>
              <w:rPr>
                <w:sz w:val="20"/>
                <w:szCs w:val="20"/>
              </w:rPr>
              <w:t>INF</w:t>
            </w:r>
          </w:p>
        </w:tc>
        <w:tc>
          <w:tcPr>
            <w:tcW w:w="2800" w:type="dxa"/>
            <w:shd w:val="clear" w:color="auto" w:fill="F2F2F2"/>
            <w:tcMar>
              <w:top w:w="80" w:type="dxa"/>
              <w:left w:w="120" w:type="dxa"/>
              <w:bottom w:w="80" w:type="dxa"/>
              <w:right w:w="120" w:type="dxa"/>
            </w:tcMar>
            <w:vAlign w:val="center"/>
          </w:tcPr>
          <w:p w14:paraId="0EC9D248" w14:textId="77777777" w:rsidR="00101345" w:rsidRDefault="00000000">
            <w:pPr>
              <w:spacing w:before="60" w:after="60"/>
            </w:pPr>
            <w:r>
              <w:rPr>
                <w:sz w:val="20"/>
                <w:szCs w:val="20"/>
              </w:rPr>
              <w:t>Inflation, consumer prices (annual %)</w:t>
            </w:r>
          </w:p>
        </w:tc>
        <w:tc>
          <w:tcPr>
            <w:tcW w:w="1800" w:type="dxa"/>
            <w:shd w:val="clear" w:color="auto" w:fill="F2F2F2"/>
            <w:tcMar>
              <w:top w:w="80" w:type="dxa"/>
              <w:left w:w="120" w:type="dxa"/>
              <w:bottom w:w="80" w:type="dxa"/>
              <w:right w:w="120" w:type="dxa"/>
            </w:tcMar>
            <w:vAlign w:val="center"/>
          </w:tcPr>
          <w:p w14:paraId="6F94BC9D" w14:textId="77777777" w:rsidR="00101345" w:rsidRDefault="00000000">
            <w:pPr>
              <w:spacing w:before="60" w:after="60"/>
              <w:jc w:val="center"/>
            </w:pPr>
            <w:r>
              <w:rPr>
                <w:sz w:val="20"/>
                <w:szCs w:val="20"/>
              </w:rPr>
              <w:t>−</w:t>
            </w:r>
          </w:p>
        </w:tc>
        <w:tc>
          <w:tcPr>
            <w:tcW w:w="2760" w:type="dxa"/>
            <w:shd w:val="clear" w:color="auto" w:fill="F2F2F2"/>
            <w:tcMar>
              <w:top w:w="80" w:type="dxa"/>
              <w:left w:w="120" w:type="dxa"/>
              <w:bottom w:w="80" w:type="dxa"/>
              <w:right w:w="120" w:type="dxa"/>
            </w:tcMar>
            <w:vAlign w:val="center"/>
          </w:tcPr>
          <w:p w14:paraId="3814D689" w14:textId="77777777" w:rsidR="00101345" w:rsidRDefault="00000000">
            <w:pPr>
              <w:spacing w:before="60" w:after="60"/>
            </w:pPr>
            <w:r>
              <w:rPr>
                <w:sz w:val="20"/>
                <w:szCs w:val="20"/>
              </w:rPr>
              <w:t>World Bank WDI</w:t>
            </w:r>
          </w:p>
        </w:tc>
      </w:tr>
      <w:tr w:rsidR="00101345" w14:paraId="4A6BECCC" w14:textId="77777777">
        <w:tblPrEx>
          <w:tblCellMar>
            <w:top w:w="0" w:type="dxa"/>
            <w:bottom w:w="0" w:type="dxa"/>
          </w:tblCellMar>
        </w:tblPrEx>
        <w:tc>
          <w:tcPr>
            <w:tcW w:w="2000" w:type="dxa"/>
            <w:shd w:val="clear" w:color="auto" w:fill="D6E4F0"/>
            <w:tcMar>
              <w:top w:w="80" w:type="dxa"/>
              <w:left w:w="120" w:type="dxa"/>
              <w:bottom w:w="80" w:type="dxa"/>
              <w:right w:w="120" w:type="dxa"/>
            </w:tcMar>
            <w:vAlign w:val="center"/>
          </w:tcPr>
          <w:p w14:paraId="7DC283D3" w14:textId="77777777" w:rsidR="00101345" w:rsidRDefault="00000000">
            <w:pPr>
              <w:spacing w:before="60" w:after="60"/>
            </w:pPr>
            <w:r>
              <w:rPr>
                <w:sz w:val="20"/>
                <w:szCs w:val="20"/>
              </w:rPr>
              <w:t>TRADE</w:t>
            </w:r>
          </w:p>
        </w:tc>
        <w:tc>
          <w:tcPr>
            <w:tcW w:w="2800" w:type="dxa"/>
            <w:tcMar>
              <w:top w:w="80" w:type="dxa"/>
              <w:left w:w="120" w:type="dxa"/>
              <w:bottom w:w="80" w:type="dxa"/>
              <w:right w:w="120" w:type="dxa"/>
            </w:tcMar>
            <w:vAlign w:val="center"/>
          </w:tcPr>
          <w:p w14:paraId="2A48369B" w14:textId="77777777" w:rsidR="00101345" w:rsidRDefault="00000000">
            <w:pPr>
              <w:spacing w:before="60" w:after="60"/>
            </w:pPr>
            <w:r>
              <w:rPr>
                <w:sz w:val="20"/>
                <w:szCs w:val="20"/>
              </w:rPr>
              <w:t>Trade openness (exports + imports % GDP)</w:t>
            </w:r>
          </w:p>
        </w:tc>
        <w:tc>
          <w:tcPr>
            <w:tcW w:w="1800" w:type="dxa"/>
            <w:tcMar>
              <w:top w:w="80" w:type="dxa"/>
              <w:left w:w="120" w:type="dxa"/>
              <w:bottom w:w="80" w:type="dxa"/>
              <w:right w:w="120" w:type="dxa"/>
            </w:tcMar>
            <w:vAlign w:val="center"/>
          </w:tcPr>
          <w:p w14:paraId="2F63A303" w14:textId="77777777" w:rsidR="00101345" w:rsidRDefault="00000000">
            <w:pPr>
              <w:spacing w:before="60" w:after="60"/>
              <w:jc w:val="center"/>
            </w:pPr>
            <w:r>
              <w:rPr>
                <w:sz w:val="20"/>
                <w:szCs w:val="20"/>
              </w:rPr>
              <w:t>+</w:t>
            </w:r>
          </w:p>
        </w:tc>
        <w:tc>
          <w:tcPr>
            <w:tcW w:w="2760" w:type="dxa"/>
            <w:tcMar>
              <w:top w:w="80" w:type="dxa"/>
              <w:left w:w="120" w:type="dxa"/>
              <w:bottom w:w="80" w:type="dxa"/>
              <w:right w:w="120" w:type="dxa"/>
            </w:tcMar>
            <w:vAlign w:val="center"/>
          </w:tcPr>
          <w:p w14:paraId="1C71879A" w14:textId="77777777" w:rsidR="00101345" w:rsidRDefault="00000000">
            <w:pPr>
              <w:spacing w:before="60" w:after="60"/>
            </w:pPr>
            <w:r>
              <w:rPr>
                <w:sz w:val="20"/>
                <w:szCs w:val="20"/>
              </w:rPr>
              <w:t>World Bank WDI</w:t>
            </w:r>
          </w:p>
        </w:tc>
      </w:tr>
      <w:tr w:rsidR="00101345" w14:paraId="6FB9120E"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29681D63" w14:textId="77777777" w:rsidR="00101345" w:rsidRDefault="00000000">
            <w:pPr>
              <w:spacing w:before="60" w:after="60"/>
            </w:pPr>
            <w:r>
              <w:rPr>
                <w:sz w:val="20"/>
                <w:szCs w:val="20"/>
              </w:rPr>
              <w:t>LGDPPC</w:t>
            </w:r>
          </w:p>
        </w:tc>
        <w:tc>
          <w:tcPr>
            <w:tcW w:w="2800" w:type="dxa"/>
            <w:shd w:val="clear" w:color="auto" w:fill="F2F2F2"/>
            <w:tcMar>
              <w:top w:w="80" w:type="dxa"/>
              <w:left w:w="120" w:type="dxa"/>
              <w:bottom w:w="80" w:type="dxa"/>
              <w:right w:w="120" w:type="dxa"/>
            </w:tcMar>
            <w:vAlign w:val="center"/>
          </w:tcPr>
          <w:p w14:paraId="1A3C1930" w14:textId="77777777" w:rsidR="00101345" w:rsidRDefault="00000000">
            <w:pPr>
              <w:spacing w:before="60" w:after="60"/>
            </w:pPr>
            <w:r>
              <w:rPr>
                <w:sz w:val="20"/>
                <w:szCs w:val="20"/>
              </w:rPr>
              <w:t>Log of GDP per capita (current USD)</w:t>
            </w:r>
          </w:p>
        </w:tc>
        <w:tc>
          <w:tcPr>
            <w:tcW w:w="1800" w:type="dxa"/>
            <w:shd w:val="clear" w:color="auto" w:fill="F2F2F2"/>
            <w:tcMar>
              <w:top w:w="80" w:type="dxa"/>
              <w:left w:w="120" w:type="dxa"/>
              <w:bottom w:w="80" w:type="dxa"/>
              <w:right w:w="120" w:type="dxa"/>
            </w:tcMar>
            <w:vAlign w:val="center"/>
          </w:tcPr>
          <w:p w14:paraId="0E9EFF16" w14:textId="77777777" w:rsidR="00101345" w:rsidRDefault="00000000">
            <w:pPr>
              <w:spacing w:before="60" w:after="60"/>
              <w:jc w:val="center"/>
            </w:pPr>
            <w:r>
              <w:rPr>
                <w:sz w:val="20"/>
                <w:szCs w:val="20"/>
              </w:rPr>
              <w:t>±</w:t>
            </w:r>
          </w:p>
        </w:tc>
        <w:tc>
          <w:tcPr>
            <w:tcW w:w="2760" w:type="dxa"/>
            <w:shd w:val="clear" w:color="auto" w:fill="F2F2F2"/>
            <w:tcMar>
              <w:top w:w="80" w:type="dxa"/>
              <w:left w:w="120" w:type="dxa"/>
              <w:bottom w:w="80" w:type="dxa"/>
              <w:right w:w="120" w:type="dxa"/>
            </w:tcMar>
            <w:vAlign w:val="center"/>
          </w:tcPr>
          <w:p w14:paraId="04ACAEC3" w14:textId="77777777" w:rsidR="00101345" w:rsidRDefault="00000000">
            <w:pPr>
              <w:spacing w:before="60" w:after="60"/>
            </w:pPr>
            <w:r>
              <w:rPr>
                <w:sz w:val="20"/>
                <w:szCs w:val="20"/>
              </w:rPr>
              <w:t>World Bank WDI</w:t>
            </w:r>
          </w:p>
        </w:tc>
      </w:tr>
      <w:tr w:rsidR="00101345" w14:paraId="499FCF93" w14:textId="77777777">
        <w:tblPrEx>
          <w:tblCellMar>
            <w:top w:w="0" w:type="dxa"/>
            <w:bottom w:w="0" w:type="dxa"/>
          </w:tblCellMar>
        </w:tblPrEx>
        <w:tc>
          <w:tcPr>
            <w:tcW w:w="2000" w:type="dxa"/>
            <w:shd w:val="clear" w:color="auto" w:fill="D6E4F0"/>
            <w:tcMar>
              <w:top w:w="80" w:type="dxa"/>
              <w:left w:w="120" w:type="dxa"/>
              <w:bottom w:w="80" w:type="dxa"/>
              <w:right w:w="120" w:type="dxa"/>
            </w:tcMar>
            <w:vAlign w:val="center"/>
          </w:tcPr>
          <w:p w14:paraId="29F68B2A" w14:textId="77777777" w:rsidR="00101345" w:rsidRDefault="00000000">
            <w:pPr>
              <w:spacing w:before="60" w:after="60"/>
            </w:pPr>
            <w:r>
              <w:rPr>
                <w:sz w:val="20"/>
                <w:szCs w:val="20"/>
              </w:rPr>
              <w:t>INFRA</w:t>
            </w:r>
          </w:p>
        </w:tc>
        <w:tc>
          <w:tcPr>
            <w:tcW w:w="2800" w:type="dxa"/>
            <w:tcMar>
              <w:top w:w="80" w:type="dxa"/>
              <w:left w:w="120" w:type="dxa"/>
              <w:bottom w:w="80" w:type="dxa"/>
              <w:right w:w="120" w:type="dxa"/>
            </w:tcMar>
            <w:vAlign w:val="center"/>
          </w:tcPr>
          <w:p w14:paraId="72458945" w14:textId="77777777" w:rsidR="00101345" w:rsidRDefault="00000000">
            <w:pPr>
              <w:spacing w:before="60" w:after="60"/>
            </w:pPr>
            <w:r>
              <w:rPr>
                <w:sz w:val="20"/>
                <w:szCs w:val="20"/>
              </w:rPr>
              <w:t>Mobile cellular subscriptions per 100 people</w:t>
            </w:r>
          </w:p>
        </w:tc>
        <w:tc>
          <w:tcPr>
            <w:tcW w:w="1800" w:type="dxa"/>
            <w:tcMar>
              <w:top w:w="80" w:type="dxa"/>
              <w:left w:w="120" w:type="dxa"/>
              <w:bottom w:w="80" w:type="dxa"/>
              <w:right w:w="120" w:type="dxa"/>
            </w:tcMar>
            <w:vAlign w:val="center"/>
          </w:tcPr>
          <w:p w14:paraId="70B0130D" w14:textId="77777777" w:rsidR="00101345" w:rsidRDefault="00000000">
            <w:pPr>
              <w:spacing w:before="60" w:after="60"/>
              <w:jc w:val="center"/>
            </w:pPr>
            <w:r>
              <w:rPr>
                <w:sz w:val="20"/>
                <w:szCs w:val="20"/>
              </w:rPr>
              <w:t>+</w:t>
            </w:r>
          </w:p>
        </w:tc>
        <w:tc>
          <w:tcPr>
            <w:tcW w:w="2760" w:type="dxa"/>
            <w:tcMar>
              <w:top w:w="80" w:type="dxa"/>
              <w:left w:w="120" w:type="dxa"/>
              <w:bottom w:w="80" w:type="dxa"/>
              <w:right w:w="120" w:type="dxa"/>
            </w:tcMar>
            <w:vAlign w:val="center"/>
          </w:tcPr>
          <w:p w14:paraId="2DD7C4A6" w14:textId="77777777" w:rsidR="00101345" w:rsidRDefault="00000000">
            <w:pPr>
              <w:spacing w:before="60" w:after="60"/>
            </w:pPr>
            <w:r>
              <w:rPr>
                <w:sz w:val="20"/>
                <w:szCs w:val="20"/>
              </w:rPr>
              <w:t>World Bank WDI</w:t>
            </w:r>
          </w:p>
        </w:tc>
      </w:tr>
      <w:tr w:rsidR="00101345" w14:paraId="5879F781"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12EB07E2" w14:textId="77777777" w:rsidR="00101345" w:rsidRDefault="00000000">
            <w:pPr>
              <w:spacing w:before="60" w:after="60"/>
            </w:pPr>
            <w:r>
              <w:rPr>
                <w:sz w:val="20"/>
                <w:szCs w:val="20"/>
              </w:rPr>
              <w:t>FINDEV</w:t>
            </w:r>
          </w:p>
        </w:tc>
        <w:tc>
          <w:tcPr>
            <w:tcW w:w="2800" w:type="dxa"/>
            <w:shd w:val="clear" w:color="auto" w:fill="F2F2F2"/>
            <w:tcMar>
              <w:top w:w="80" w:type="dxa"/>
              <w:left w:w="120" w:type="dxa"/>
              <w:bottom w:w="80" w:type="dxa"/>
              <w:right w:w="120" w:type="dxa"/>
            </w:tcMar>
            <w:vAlign w:val="center"/>
          </w:tcPr>
          <w:p w14:paraId="5D9A1588" w14:textId="77777777" w:rsidR="00101345" w:rsidRDefault="00000000">
            <w:pPr>
              <w:spacing w:before="60" w:after="60"/>
            </w:pPr>
            <w:r>
              <w:rPr>
                <w:sz w:val="20"/>
                <w:szCs w:val="20"/>
              </w:rPr>
              <w:t>Broad money (% of GDP)</w:t>
            </w:r>
          </w:p>
        </w:tc>
        <w:tc>
          <w:tcPr>
            <w:tcW w:w="1800" w:type="dxa"/>
            <w:shd w:val="clear" w:color="auto" w:fill="F2F2F2"/>
            <w:tcMar>
              <w:top w:w="80" w:type="dxa"/>
              <w:left w:w="120" w:type="dxa"/>
              <w:bottom w:w="80" w:type="dxa"/>
              <w:right w:w="120" w:type="dxa"/>
            </w:tcMar>
            <w:vAlign w:val="center"/>
          </w:tcPr>
          <w:p w14:paraId="7B38F797" w14:textId="77777777" w:rsidR="00101345" w:rsidRDefault="00000000">
            <w:pPr>
              <w:spacing w:before="60" w:after="60"/>
              <w:jc w:val="center"/>
            </w:pPr>
            <w:r>
              <w:rPr>
                <w:sz w:val="20"/>
                <w:szCs w:val="20"/>
              </w:rPr>
              <w:t>+</w:t>
            </w:r>
          </w:p>
        </w:tc>
        <w:tc>
          <w:tcPr>
            <w:tcW w:w="2760" w:type="dxa"/>
            <w:shd w:val="clear" w:color="auto" w:fill="F2F2F2"/>
            <w:tcMar>
              <w:top w:w="80" w:type="dxa"/>
              <w:left w:w="120" w:type="dxa"/>
              <w:bottom w:w="80" w:type="dxa"/>
              <w:right w:w="120" w:type="dxa"/>
            </w:tcMar>
            <w:vAlign w:val="center"/>
          </w:tcPr>
          <w:p w14:paraId="537F5F5B" w14:textId="77777777" w:rsidR="00101345" w:rsidRDefault="00000000">
            <w:pPr>
              <w:spacing w:before="60" w:after="60"/>
            </w:pPr>
            <w:r>
              <w:rPr>
                <w:sz w:val="20"/>
                <w:szCs w:val="20"/>
              </w:rPr>
              <w:t>World Bank WDI</w:t>
            </w:r>
          </w:p>
        </w:tc>
      </w:tr>
      <w:tr w:rsidR="00101345" w14:paraId="05D17F6B" w14:textId="77777777">
        <w:tblPrEx>
          <w:tblCellMar>
            <w:top w:w="0" w:type="dxa"/>
            <w:bottom w:w="0" w:type="dxa"/>
          </w:tblCellMar>
        </w:tblPrEx>
        <w:tc>
          <w:tcPr>
            <w:tcW w:w="2000" w:type="dxa"/>
            <w:shd w:val="clear" w:color="auto" w:fill="D6E4F0"/>
            <w:tcMar>
              <w:top w:w="80" w:type="dxa"/>
              <w:left w:w="120" w:type="dxa"/>
              <w:bottom w:w="80" w:type="dxa"/>
              <w:right w:w="120" w:type="dxa"/>
            </w:tcMar>
            <w:vAlign w:val="center"/>
          </w:tcPr>
          <w:p w14:paraId="5A18FAB6" w14:textId="77777777" w:rsidR="00101345" w:rsidRDefault="00000000">
            <w:pPr>
              <w:spacing w:before="60" w:after="60"/>
            </w:pPr>
            <w:r>
              <w:rPr>
                <w:sz w:val="20"/>
                <w:szCs w:val="20"/>
              </w:rPr>
              <w:t>POLSTAB</w:t>
            </w:r>
          </w:p>
        </w:tc>
        <w:tc>
          <w:tcPr>
            <w:tcW w:w="2800" w:type="dxa"/>
            <w:tcMar>
              <w:top w:w="80" w:type="dxa"/>
              <w:left w:w="120" w:type="dxa"/>
              <w:bottom w:w="80" w:type="dxa"/>
              <w:right w:w="120" w:type="dxa"/>
            </w:tcMar>
            <w:vAlign w:val="center"/>
          </w:tcPr>
          <w:p w14:paraId="0B56F2B6" w14:textId="77777777" w:rsidR="00101345" w:rsidRDefault="00000000">
            <w:pPr>
              <w:spacing w:before="60" w:after="60"/>
            </w:pPr>
            <w:r>
              <w:rPr>
                <w:sz w:val="20"/>
                <w:szCs w:val="20"/>
              </w:rPr>
              <w:t>Political Stability and Absence of Violence (WGI PV.EST)</w:t>
            </w:r>
          </w:p>
        </w:tc>
        <w:tc>
          <w:tcPr>
            <w:tcW w:w="1800" w:type="dxa"/>
            <w:tcMar>
              <w:top w:w="80" w:type="dxa"/>
              <w:left w:w="120" w:type="dxa"/>
              <w:bottom w:w="80" w:type="dxa"/>
              <w:right w:w="120" w:type="dxa"/>
            </w:tcMar>
            <w:vAlign w:val="center"/>
          </w:tcPr>
          <w:p w14:paraId="21A9D462" w14:textId="77777777" w:rsidR="00101345" w:rsidRDefault="00000000">
            <w:pPr>
              <w:spacing w:before="60" w:after="60"/>
              <w:jc w:val="center"/>
            </w:pPr>
            <w:r>
              <w:rPr>
                <w:sz w:val="20"/>
                <w:szCs w:val="20"/>
              </w:rPr>
              <w:t>+</w:t>
            </w:r>
          </w:p>
        </w:tc>
        <w:tc>
          <w:tcPr>
            <w:tcW w:w="2760" w:type="dxa"/>
            <w:tcMar>
              <w:top w:w="80" w:type="dxa"/>
              <w:left w:w="120" w:type="dxa"/>
              <w:bottom w:w="80" w:type="dxa"/>
              <w:right w:w="120" w:type="dxa"/>
            </w:tcMar>
            <w:vAlign w:val="center"/>
          </w:tcPr>
          <w:p w14:paraId="0B458A26" w14:textId="77777777" w:rsidR="00101345" w:rsidRDefault="00000000">
            <w:pPr>
              <w:spacing w:before="60" w:after="60"/>
            </w:pPr>
            <w:r>
              <w:rPr>
                <w:sz w:val="20"/>
                <w:szCs w:val="20"/>
              </w:rPr>
              <w:t>World Bank WGI</w:t>
            </w:r>
          </w:p>
        </w:tc>
      </w:tr>
    </w:tbl>
    <w:p w14:paraId="340E7DE3" w14:textId="77777777" w:rsidR="00101345" w:rsidRDefault="00101345">
      <w:pPr>
        <w:spacing w:after="80"/>
      </w:pPr>
    </w:p>
    <w:p w14:paraId="2B003AB8" w14:textId="77777777" w:rsidR="00101345" w:rsidRDefault="00000000">
      <w:pPr>
        <w:pStyle w:val="Heading1"/>
        <w:shd w:val="clear" w:color="auto" w:fill="1F3864"/>
        <w:spacing w:before="320" w:after="160"/>
        <w:ind w:left="144" w:right="144"/>
      </w:pPr>
      <w:r>
        <w:rPr>
          <w:b/>
          <w:bCs/>
          <w:color w:val="FFFFFF"/>
          <w:sz w:val="28"/>
          <w:szCs w:val="28"/>
        </w:rPr>
        <w:lastRenderedPageBreak/>
        <w:t>4. Estimation Pipeline and Diagnostic Tests</w:t>
      </w:r>
    </w:p>
    <w:p w14:paraId="42D962BC" w14:textId="77777777" w:rsidR="00101345" w:rsidRDefault="00101345">
      <w:pPr>
        <w:spacing w:after="80"/>
      </w:pPr>
    </w:p>
    <w:p w14:paraId="28ADA17D" w14:textId="77777777" w:rsidR="00101345" w:rsidRDefault="00000000">
      <w:pPr>
        <w:pStyle w:val="Heading2"/>
        <w:spacing w:before="200" w:after="100"/>
      </w:pPr>
      <w:r>
        <w:rPr>
          <w:b/>
          <w:bCs/>
          <w:color w:val="1F3864"/>
          <w:sz w:val="24"/>
          <w:szCs w:val="24"/>
          <w:u w:val="single"/>
        </w:rPr>
        <w:t>4.1 Pooled OLS — Baseline</w:t>
      </w:r>
    </w:p>
    <w:p w14:paraId="2818EE10" w14:textId="77777777" w:rsidR="00101345" w:rsidRDefault="00000000">
      <w:pPr>
        <w:spacing w:after="140" w:line="288" w:lineRule="auto"/>
        <w:jc w:val="both"/>
      </w:pPr>
      <w:r>
        <w:t>The estimation begins with Pooled OLS as a baseline, treating all country-year observations as a single cross-sectional pool with no allowance for country-specific heterogeneity. The DiD estimator in Pooled OLS is -1.573 (p = 0.044), suggesting a negative and statistically significant effect. However, Pooled OLS is known to be biased in panel settings when unobserved country-level characteristics are correlated with the regressors — a near-certainty in cross-country FDI analysis. The Pooled OLS result is therefore reported for reference only and is not used for inference.</w:t>
      </w:r>
    </w:p>
    <w:p w14:paraId="5F719162" w14:textId="77777777" w:rsidR="00101345" w:rsidRDefault="00000000">
      <w:pPr>
        <w:pStyle w:val="Heading2"/>
        <w:spacing w:before="200" w:after="100"/>
      </w:pPr>
      <w:r>
        <w:rPr>
          <w:b/>
          <w:bCs/>
          <w:color w:val="1F3864"/>
          <w:sz w:val="24"/>
          <w:szCs w:val="24"/>
          <w:u w:val="single"/>
        </w:rPr>
        <w:t>4.2 Two-Way Fixed Effects — Preferred Specification</w:t>
      </w:r>
    </w:p>
    <w:p w14:paraId="22E357F0" w14:textId="77777777" w:rsidR="00101345" w:rsidRDefault="00000000">
      <w:pPr>
        <w:spacing w:after="140" w:line="288" w:lineRule="auto"/>
        <w:jc w:val="both"/>
      </w:pPr>
      <w:r>
        <w:t>The preferred specification introduces both cross-section fixed effects (one per country) and period fixed effects (one per year). Country fixed effects absorb all time-invariant country-level determinants of FDI — geography, institutional history, colonial legacy, language — that would otherwise bias the DiD estimator. Period fixed effects absorb all common annual shocks — global financial crises, commodity price cycles, COVID-19 — that affect all countries simultaneously. In the two-way FE specification, the standalone POST and TREAT dummies are absorbed by the fixed effects and omitted to avoid perfect multicollinearity.</w:t>
      </w:r>
    </w:p>
    <w:p w14:paraId="06B144EB" w14:textId="77777777" w:rsidR="00101345" w:rsidRDefault="00000000">
      <w:pPr>
        <w:spacing w:after="140" w:line="288" w:lineRule="auto"/>
        <w:jc w:val="both"/>
      </w:pPr>
      <w:r>
        <w:t>The DiD estimator in the Two-Way FE model is -0.463 (p = 0.453). The coefficient is statistically indistinguishable from zero at any conventional significance level. This is the primary result of the study.</w:t>
      </w:r>
    </w:p>
    <w:p w14:paraId="59AD9DB9" w14:textId="77777777" w:rsidR="00101345" w:rsidRDefault="00000000">
      <w:pPr>
        <w:pStyle w:val="Heading2"/>
        <w:spacing w:before="200" w:after="100"/>
      </w:pPr>
      <w:r>
        <w:rPr>
          <w:b/>
          <w:bCs/>
          <w:color w:val="1F3864"/>
          <w:sz w:val="24"/>
          <w:szCs w:val="24"/>
          <w:u w:val="single"/>
        </w:rPr>
        <w:t>4.3 Hausman Test — Model Selection</w:t>
      </w:r>
    </w:p>
    <w:p w14:paraId="74889E71" w14:textId="77777777" w:rsidR="00101345" w:rsidRDefault="00000000">
      <w:pPr>
        <w:spacing w:after="140" w:line="288" w:lineRule="auto"/>
        <w:jc w:val="both"/>
      </w:pPr>
      <w:r>
        <w:t>To formally adjudicate between Fixed Effects and Random Effects, the Correlated Random Effects Hausman Test was conducted. The test statistic is χ</w:t>
      </w:r>
      <w:proofErr w:type="gramStart"/>
      <w:r>
        <w:t>²(</w:t>
      </w:r>
      <w:proofErr w:type="gramEnd"/>
      <w:r>
        <w:t xml:space="preserve">5) = 332.58 (p = 0.000), strongly rejecting the null hypothesis that Random Effects is consistent. This confirms that Fixed Effects is the appropriate estimator — country-level </w:t>
      </w:r>
      <w:proofErr w:type="spellStart"/>
      <w:r>
        <w:t>unobservables</w:t>
      </w:r>
      <w:proofErr w:type="spellEnd"/>
      <w:r>
        <w:t xml:space="preserve"> are correlated with the regressors, as expected in cross-country panel data. It is worth noting that the Random Effects estimator produced a degenerate solution (cross-section random effects variance estimated as exactly zero), indicating that Random Effects is not a viable alternative in this setting independent of the Hausman result.</w:t>
      </w:r>
    </w:p>
    <w:p w14:paraId="383345E5" w14:textId="77777777" w:rsidR="00101345" w:rsidRDefault="00101345">
      <w:pPr>
        <w:spacing w:after="80"/>
      </w:pPr>
    </w:p>
    <w:p w14:paraId="220D2AF3" w14:textId="77777777" w:rsidR="00101345" w:rsidRDefault="00000000">
      <w:r>
        <w:br w:type="page"/>
      </w:r>
    </w:p>
    <w:p w14:paraId="6E356E10" w14:textId="77777777" w:rsidR="00101345" w:rsidRDefault="00000000">
      <w:pPr>
        <w:pStyle w:val="Heading1"/>
        <w:shd w:val="clear" w:color="auto" w:fill="1F3864"/>
        <w:spacing w:before="320" w:after="160"/>
        <w:ind w:left="144" w:right="144"/>
      </w:pPr>
      <w:r>
        <w:rPr>
          <w:b/>
          <w:bCs/>
          <w:color w:val="FFFFFF"/>
          <w:sz w:val="28"/>
          <w:szCs w:val="28"/>
        </w:rPr>
        <w:lastRenderedPageBreak/>
        <w:t>5. Empirical Results</w:t>
      </w:r>
    </w:p>
    <w:p w14:paraId="12CC4816" w14:textId="77777777" w:rsidR="00101345" w:rsidRDefault="00101345">
      <w:pPr>
        <w:spacing w:after="80"/>
      </w:pPr>
    </w:p>
    <w:p w14:paraId="41F6399A" w14:textId="77777777" w:rsidR="00101345" w:rsidRDefault="00000000">
      <w:pPr>
        <w:pStyle w:val="Heading2"/>
        <w:spacing w:before="200" w:after="100"/>
      </w:pPr>
      <w:r>
        <w:rPr>
          <w:b/>
          <w:bCs/>
          <w:color w:val="1F3864"/>
          <w:sz w:val="24"/>
          <w:szCs w:val="24"/>
          <w:u w:val="single"/>
        </w:rPr>
        <w:t>5.1 Main Regression Results</w:t>
      </w:r>
    </w:p>
    <w:p w14:paraId="1E0C98F9" w14:textId="77777777" w:rsidR="00101345" w:rsidRDefault="001013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101345" w14:paraId="2220E9B8" w14:textId="77777777">
        <w:tblPrEx>
          <w:tblCellMar>
            <w:top w:w="0" w:type="dxa"/>
            <w:bottom w:w="0" w:type="dxa"/>
          </w:tblCellMar>
        </w:tblPrEx>
        <w:trPr>
          <w:tblHeader/>
        </w:trPr>
        <w:tc>
          <w:tcPr>
            <w:tcW w:w="2800" w:type="dxa"/>
            <w:shd w:val="clear" w:color="auto" w:fill="1F3864"/>
            <w:tcMar>
              <w:top w:w="80" w:type="dxa"/>
              <w:left w:w="120" w:type="dxa"/>
              <w:bottom w:w="80" w:type="dxa"/>
              <w:right w:w="120" w:type="dxa"/>
            </w:tcMar>
            <w:vAlign w:val="center"/>
          </w:tcPr>
          <w:p w14:paraId="64553BA2" w14:textId="77777777" w:rsidR="00101345" w:rsidRDefault="00000000">
            <w:pPr>
              <w:spacing w:before="60" w:after="60"/>
              <w:jc w:val="center"/>
            </w:pPr>
            <w:r>
              <w:rPr>
                <w:b/>
                <w:bCs/>
                <w:color w:val="FFFFFF"/>
                <w:sz w:val="20"/>
                <w:szCs w:val="20"/>
              </w:rPr>
              <w:t>Variable</w:t>
            </w:r>
          </w:p>
        </w:tc>
        <w:tc>
          <w:tcPr>
            <w:tcW w:w="1640" w:type="dxa"/>
            <w:shd w:val="clear" w:color="auto" w:fill="1F3864"/>
            <w:tcMar>
              <w:top w:w="80" w:type="dxa"/>
              <w:left w:w="120" w:type="dxa"/>
              <w:bottom w:w="80" w:type="dxa"/>
              <w:right w:w="120" w:type="dxa"/>
            </w:tcMar>
            <w:vAlign w:val="center"/>
          </w:tcPr>
          <w:p w14:paraId="34DD9204" w14:textId="77777777" w:rsidR="00101345" w:rsidRDefault="00000000">
            <w:pPr>
              <w:spacing w:before="60" w:after="60"/>
              <w:jc w:val="center"/>
            </w:pPr>
            <w:r>
              <w:rPr>
                <w:b/>
                <w:bCs/>
                <w:color w:val="FFFFFF"/>
                <w:sz w:val="20"/>
                <w:szCs w:val="20"/>
              </w:rPr>
              <w:t>Pooled OLS</w:t>
            </w:r>
          </w:p>
        </w:tc>
        <w:tc>
          <w:tcPr>
            <w:tcW w:w="1640" w:type="dxa"/>
            <w:shd w:val="clear" w:color="auto" w:fill="1F3864"/>
            <w:tcMar>
              <w:top w:w="80" w:type="dxa"/>
              <w:left w:w="120" w:type="dxa"/>
              <w:bottom w:w="80" w:type="dxa"/>
              <w:right w:w="120" w:type="dxa"/>
            </w:tcMar>
            <w:vAlign w:val="center"/>
          </w:tcPr>
          <w:p w14:paraId="333766F7" w14:textId="77777777" w:rsidR="00101345" w:rsidRDefault="00000000">
            <w:pPr>
              <w:spacing w:before="60" w:after="60"/>
              <w:jc w:val="center"/>
            </w:pPr>
            <w:r>
              <w:rPr>
                <w:b/>
                <w:bCs/>
                <w:color w:val="FFFFFF"/>
                <w:sz w:val="20"/>
                <w:szCs w:val="20"/>
              </w:rPr>
              <w:t>Two-Way FE</w:t>
            </w:r>
          </w:p>
        </w:tc>
        <w:tc>
          <w:tcPr>
            <w:tcW w:w="1640" w:type="dxa"/>
            <w:shd w:val="clear" w:color="auto" w:fill="1F3864"/>
            <w:tcMar>
              <w:top w:w="80" w:type="dxa"/>
              <w:left w:w="120" w:type="dxa"/>
              <w:bottom w:w="80" w:type="dxa"/>
              <w:right w:w="120" w:type="dxa"/>
            </w:tcMar>
            <w:vAlign w:val="center"/>
          </w:tcPr>
          <w:p w14:paraId="6F75DE74" w14:textId="77777777" w:rsidR="00101345" w:rsidRDefault="00000000">
            <w:pPr>
              <w:spacing w:before="60" w:after="60"/>
              <w:jc w:val="center"/>
            </w:pPr>
            <w:r>
              <w:rPr>
                <w:b/>
                <w:bCs/>
                <w:color w:val="FFFFFF"/>
                <w:sz w:val="20"/>
                <w:szCs w:val="20"/>
              </w:rPr>
              <w:t>Std. Error (FE)</w:t>
            </w:r>
          </w:p>
        </w:tc>
        <w:tc>
          <w:tcPr>
            <w:tcW w:w="1640" w:type="dxa"/>
            <w:shd w:val="clear" w:color="auto" w:fill="1F3864"/>
            <w:tcMar>
              <w:top w:w="80" w:type="dxa"/>
              <w:left w:w="120" w:type="dxa"/>
              <w:bottom w:w="80" w:type="dxa"/>
              <w:right w:w="120" w:type="dxa"/>
            </w:tcMar>
            <w:vAlign w:val="center"/>
          </w:tcPr>
          <w:p w14:paraId="17E40859" w14:textId="77777777" w:rsidR="00101345" w:rsidRDefault="00000000">
            <w:pPr>
              <w:spacing w:before="60" w:after="60"/>
              <w:jc w:val="center"/>
            </w:pPr>
            <w:r>
              <w:rPr>
                <w:b/>
                <w:bCs/>
                <w:color w:val="FFFFFF"/>
                <w:sz w:val="20"/>
                <w:szCs w:val="20"/>
              </w:rPr>
              <w:t>p-value (FE)</w:t>
            </w:r>
          </w:p>
        </w:tc>
      </w:tr>
      <w:tr w:rsidR="00101345" w14:paraId="6D4CC4ED" w14:textId="77777777">
        <w:tblPrEx>
          <w:tblCellMar>
            <w:top w:w="0" w:type="dxa"/>
            <w:bottom w:w="0" w:type="dxa"/>
          </w:tblCellMar>
        </w:tblPrEx>
        <w:tc>
          <w:tcPr>
            <w:tcW w:w="2800" w:type="dxa"/>
            <w:shd w:val="clear" w:color="auto" w:fill="D6E4F0"/>
            <w:tcMar>
              <w:top w:w="80" w:type="dxa"/>
              <w:left w:w="120" w:type="dxa"/>
              <w:bottom w:w="80" w:type="dxa"/>
              <w:right w:w="120" w:type="dxa"/>
            </w:tcMar>
            <w:vAlign w:val="center"/>
          </w:tcPr>
          <w:p w14:paraId="63B2F1D6" w14:textId="77777777" w:rsidR="00101345" w:rsidRDefault="00000000">
            <w:pPr>
              <w:spacing w:before="60" w:after="60"/>
            </w:pPr>
            <w:r>
              <w:rPr>
                <w:b/>
                <w:bCs/>
                <w:sz w:val="20"/>
                <w:szCs w:val="20"/>
              </w:rPr>
              <w:t>DID (β₃) — Key Estimator</w:t>
            </w:r>
          </w:p>
        </w:tc>
        <w:tc>
          <w:tcPr>
            <w:tcW w:w="1640" w:type="dxa"/>
            <w:shd w:val="clear" w:color="auto" w:fill="D6E4F0"/>
            <w:tcMar>
              <w:top w:w="80" w:type="dxa"/>
              <w:left w:w="120" w:type="dxa"/>
              <w:bottom w:w="80" w:type="dxa"/>
              <w:right w:w="120" w:type="dxa"/>
            </w:tcMar>
            <w:vAlign w:val="center"/>
          </w:tcPr>
          <w:p w14:paraId="62F48F35" w14:textId="77777777" w:rsidR="00101345" w:rsidRDefault="00000000">
            <w:pPr>
              <w:spacing w:before="60" w:after="60"/>
              <w:jc w:val="center"/>
            </w:pPr>
            <w:r>
              <w:rPr>
                <w:sz w:val="20"/>
                <w:szCs w:val="20"/>
              </w:rPr>
              <w:t>-1.573**</w:t>
            </w:r>
          </w:p>
        </w:tc>
        <w:tc>
          <w:tcPr>
            <w:tcW w:w="1640" w:type="dxa"/>
            <w:shd w:val="clear" w:color="auto" w:fill="D6E4F0"/>
            <w:tcMar>
              <w:top w:w="80" w:type="dxa"/>
              <w:left w:w="120" w:type="dxa"/>
              <w:bottom w:w="80" w:type="dxa"/>
              <w:right w:w="120" w:type="dxa"/>
            </w:tcMar>
            <w:vAlign w:val="center"/>
          </w:tcPr>
          <w:p w14:paraId="5B26D6BE" w14:textId="77777777" w:rsidR="00101345" w:rsidRDefault="00000000">
            <w:pPr>
              <w:spacing w:before="60" w:after="60"/>
              <w:jc w:val="center"/>
            </w:pPr>
            <w:r>
              <w:rPr>
                <w:sz w:val="20"/>
                <w:szCs w:val="20"/>
              </w:rPr>
              <w:t>-0.463</w:t>
            </w:r>
          </w:p>
        </w:tc>
        <w:tc>
          <w:tcPr>
            <w:tcW w:w="1640" w:type="dxa"/>
            <w:shd w:val="clear" w:color="auto" w:fill="D6E4F0"/>
            <w:tcMar>
              <w:top w:w="80" w:type="dxa"/>
              <w:left w:w="120" w:type="dxa"/>
              <w:bottom w:w="80" w:type="dxa"/>
              <w:right w:w="120" w:type="dxa"/>
            </w:tcMar>
            <w:vAlign w:val="center"/>
          </w:tcPr>
          <w:p w14:paraId="7C0925D7" w14:textId="77777777" w:rsidR="00101345" w:rsidRDefault="00000000">
            <w:pPr>
              <w:spacing w:before="60" w:after="60"/>
              <w:jc w:val="center"/>
            </w:pPr>
            <w:r>
              <w:rPr>
                <w:sz w:val="20"/>
                <w:szCs w:val="20"/>
              </w:rPr>
              <w:t>0.614</w:t>
            </w:r>
          </w:p>
        </w:tc>
        <w:tc>
          <w:tcPr>
            <w:tcW w:w="1640" w:type="dxa"/>
            <w:shd w:val="clear" w:color="auto" w:fill="D6E4F0"/>
            <w:tcMar>
              <w:top w:w="80" w:type="dxa"/>
              <w:left w:w="120" w:type="dxa"/>
              <w:bottom w:w="80" w:type="dxa"/>
              <w:right w:w="120" w:type="dxa"/>
            </w:tcMar>
            <w:vAlign w:val="center"/>
          </w:tcPr>
          <w:p w14:paraId="05FD9BC0" w14:textId="77777777" w:rsidR="00101345" w:rsidRDefault="00000000">
            <w:pPr>
              <w:spacing w:before="60" w:after="60"/>
              <w:jc w:val="center"/>
            </w:pPr>
            <w:r>
              <w:rPr>
                <w:sz w:val="20"/>
                <w:szCs w:val="20"/>
              </w:rPr>
              <w:t>0.453</w:t>
            </w:r>
          </w:p>
        </w:tc>
      </w:tr>
      <w:tr w:rsidR="00101345" w14:paraId="5ED45DDA" w14:textId="77777777">
        <w:tblPrEx>
          <w:tblCellMar>
            <w:top w:w="0" w:type="dxa"/>
            <w:bottom w:w="0" w:type="dxa"/>
          </w:tblCellMar>
        </w:tblPrEx>
        <w:tc>
          <w:tcPr>
            <w:tcW w:w="2800" w:type="dxa"/>
            <w:shd w:val="clear" w:color="auto" w:fill="F2F2F2"/>
            <w:tcMar>
              <w:top w:w="80" w:type="dxa"/>
              <w:left w:w="120" w:type="dxa"/>
              <w:bottom w:w="80" w:type="dxa"/>
              <w:right w:w="120" w:type="dxa"/>
            </w:tcMar>
            <w:vAlign w:val="center"/>
          </w:tcPr>
          <w:p w14:paraId="352BB06F" w14:textId="77777777" w:rsidR="00101345" w:rsidRDefault="00000000">
            <w:pPr>
              <w:spacing w:before="60" w:after="60"/>
            </w:pPr>
            <w:r>
              <w:rPr>
                <w:sz w:val="20"/>
                <w:szCs w:val="20"/>
              </w:rPr>
              <w:t>LGDPPC</w:t>
            </w:r>
          </w:p>
        </w:tc>
        <w:tc>
          <w:tcPr>
            <w:tcW w:w="1640" w:type="dxa"/>
            <w:shd w:val="clear" w:color="auto" w:fill="F2F2F2"/>
            <w:tcMar>
              <w:top w:w="80" w:type="dxa"/>
              <w:left w:w="120" w:type="dxa"/>
              <w:bottom w:w="80" w:type="dxa"/>
              <w:right w:w="120" w:type="dxa"/>
            </w:tcMar>
            <w:vAlign w:val="center"/>
          </w:tcPr>
          <w:p w14:paraId="681C615F" w14:textId="77777777" w:rsidR="00101345" w:rsidRDefault="00000000">
            <w:pPr>
              <w:spacing w:before="60" w:after="60"/>
              <w:jc w:val="center"/>
            </w:pPr>
            <w:r>
              <w:rPr>
                <w:sz w:val="20"/>
                <w:szCs w:val="20"/>
              </w:rPr>
              <w:t>-2.627***</w:t>
            </w:r>
          </w:p>
        </w:tc>
        <w:tc>
          <w:tcPr>
            <w:tcW w:w="1640" w:type="dxa"/>
            <w:shd w:val="clear" w:color="auto" w:fill="F2F2F2"/>
            <w:tcMar>
              <w:top w:w="80" w:type="dxa"/>
              <w:left w:w="120" w:type="dxa"/>
              <w:bottom w:w="80" w:type="dxa"/>
              <w:right w:w="120" w:type="dxa"/>
            </w:tcMar>
            <w:vAlign w:val="center"/>
          </w:tcPr>
          <w:p w14:paraId="23D06B8E" w14:textId="77777777" w:rsidR="00101345" w:rsidRDefault="00000000">
            <w:pPr>
              <w:spacing w:before="60" w:after="60"/>
              <w:jc w:val="center"/>
            </w:pPr>
            <w:r>
              <w:rPr>
                <w:sz w:val="20"/>
                <w:szCs w:val="20"/>
              </w:rPr>
              <w:t>-1.826**</w:t>
            </w:r>
          </w:p>
        </w:tc>
        <w:tc>
          <w:tcPr>
            <w:tcW w:w="1640" w:type="dxa"/>
            <w:shd w:val="clear" w:color="auto" w:fill="F2F2F2"/>
            <w:tcMar>
              <w:top w:w="80" w:type="dxa"/>
              <w:left w:w="120" w:type="dxa"/>
              <w:bottom w:w="80" w:type="dxa"/>
              <w:right w:w="120" w:type="dxa"/>
            </w:tcMar>
            <w:vAlign w:val="center"/>
          </w:tcPr>
          <w:p w14:paraId="0DBAEB99" w14:textId="77777777" w:rsidR="00101345" w:rsidRDefault="00000000">
            <w:pPr>
              <w:spacing w:before="60" w:after="60"/>
              <w:jc w:val="center"/>
            </w:pPr>
            <w:r>
              <w:rPr>
                <w:sz w:val="20"/>
                <w:szCs w:val="20"/>
              </w:rPr>
              <w:t>0.747</w:t>
            </w:r>
          </w:p>
        </w:tc>
        <w:tc>
          <w:tcPr>
            <w:tcW w:w="1640" w:type="dxa"/>
            <w:shd w:val="clear" w:color="auto" w:fill="F2F2F2"/>
            <w:tcMar>
              <w:top w:w="80" w:type="dxa"/>
              <w:left w:w="120" w:type="dxa"/>
              <w:bottom w:w="80" w:type="dxa"/>
              <w:right w:w="120" w:type="dxa"/>
            </w:tcMar>
            <w:vAlign w:val="center"/>
          </w:tcPr>
          <w:p w14:paraId="56ED0B39" w14:textId="77777777" w:rsidR="00101345" w:rsidRDefault="00000000">
            <w:pPr>
              <w:spacing w:before="60" w:after="60"/>
              <w:jc w:val="center"/>
            </w:pPr>
            <w:r>
              <w:rPr>
                <w:sz w:val="20"/>
                <w:szCs w:val="20"/>
              </w:rPr>
              <w:t>0.017</w:t>
            </w:r>
          </w:p>
        </w:tc>
      </w:tr>
      <w:tr w:rsidR="00101345" w14:paraId="3D05752E" w14:textId="77777777">
        <w:tblPrEx>
          <w:tblCellMar>
            <w:top w:w="0" w:type="dxa"/>
            <w:bottom w:w="0" w:type="dxa"/>
          </w:tblCellMar>
        </w:tblPrEx>
        <w:tc>
          <w:tcPr>
            <w:tcW w:w="2800" w:type="dxa"/>
            <w:tcMar>
              <w:top w:w="80" w:type="dxa"/>
              <w:left w:w="120" w:type="dxa"/>
              <w:bottom w:w="80" w:type="dxa"/>
              <w:right w:w="120" w:type="dxa"/>
            </w:tcMar>
            <w:vAlign w:val="center"/>
          </w:tcPr>
          <w:p w14:paraId="14214D5D" w14:textId="77777777" w:rsidR="00101345" w:rsidRDefault="00000000">
            <w:pPr>
              <w:spacing w:before="60" w:after="60"/>
            </w:pPr>
            <w:r>
              <w:rPr>
                <w:sz w:val="20"/>
                <w:szCs w:val="20"/>
              </w:rPr>
              <w:t>INFRASTRUCTURE</w:t>
            </w:r>
          </w:p>
        </w:tc>
        <w:tc>
          <w:tcPr>
            <w:tcW w:w="1640" w:type="dxa"/>
            <w:tcMar>
              <w:top w:w="80" w:type="dxa"/>
              <w:left w:w="120" w:type="dxa"/>
              <w:bottom w:w="80" w:type="dxa"/>
              <w:right w:w="120" w:type="dxa"/>
            </w:tcMar>
            <w:vAlign w:val="center"/>
          </w:tcPr>
          <w:p w14:paraId="5CA1A21B" w14:textId="77777777" w:rsidR="00101345" w:rsidRDefault="00000000">
            <w:pPr>
              <w:spacing w:before="60" w:after="60"/>
              <w:jc w:val="center"/>
            </w:pPr>
            <w:r>
              <w:rPr>
                <w:sz w:val="20"/>
                <w:szCs w:val="20"/>
              </w:rPr>
              <w:t>0.035***</w:t>
            </w:r>
          </w:p>
        </w:tc>
        <w:tc>
          <w:tcPr>
            <w:tcW w:w="1640" w:type="dxa"/>
            <w:tcMar>
              <w:top w:w="80" w:type="dxa"/>
              <w:left w:w="120" w:type="dxa"/>
              <w:bottom w:w="80" w:type="dxa"/>
              <w:right w:w="120" w:type="dxa"/>
            </w:tcMar>
            <w:vAlign w:val="center"/>
          </w:tcPr>
          <w:p w14:paraId="3FD4BDED" w14:textId="77777777" w:rsidR="00101345" w:rsidRDefault="00000000">
            <w:pPr>
              <w:spacing w:before="60" w:after="60"/>
              <w:jc w:val="center"/>
            </w:pPr>
            <w:r>
              <w:rPr>
                <w:sz w:val="20"/>
                <w:szCs w:val="20"/>
              </w:rPr>
              <w:t>0.023***</w:t>
            </w:r>
          </w:p>
        </w:tc>
        <w:tc>
          <w:tcPr>
            <w:tcW w:w="1640" w:type="dxa"/>
            <w:tcMar>
              <w:top w:w="80" w:type="dxa"/>
              <w:left w:w="120" w:type="dxa"/>
              <w:bottom w:w="80" w:type="dxa"/>
              <w:right w:w="120" w:type="dxa"/>
            </w:tcMar>
            <w:vAlign w:val="center"/>
          </w:tcPr>
          <w:p w14:paraId="5F86F7F3" w14:textId="77777777" w:rsidR="00101345" w:rsidRDefault="00000000">
            <w:pPr>
              <w:spacing w:before="60" w:after="60"/>
              <w:jc w:val="center"/>
            </w:pPr>
            <w:r>
              <w:rPr>
                <w:sz w:val="20"/>
                <w:szCs w:val="20"/>
              </w:rPr>
              <w:t>0.008</w:t>
            </w:r>
          </w:p>
        </w:tc>
        <w:tc>
          <w:tcPr>
            <w:tcW w:w="1640" w:type="dxa"/>
            <w:tcMar>
              <w:top w:w="80" w:type="dxa"/>
              <w:left w:w="120" w:type="dxa"/>
              <w:bottom w:w="80" w:type="dxa"/>
              <w:right w:w="120" w:type="dxa"/>
            </w:tcMar>
            <w:vAlign w:val="center"/>
          </w:tcPr>
          <w:p w14:paraId="57E310B9" w14:textId="77777777" w:rsidR="00101345" w:rsidRDefault="00000000">
            <w:pPr>
              <w:spacing w:before="60" w:after="60"/>
              <w:jc w:val="center"/>
            </w:pPr>
            <w:r>
              <w:rPr>
                <w:sz w:val="20"/>
                <w:szCs w:val="20"/>
              </w:rPr>
              <w:t>0.006</w:t>
            </w:r>
          </w:p>
        </w:tc>
      </w:tr>
      <w:tr w:rsidR="00101345" w14:paraId="60AD19CB" w14:textId="77777777">
        <w:tblPrEx>
          <w:tblCellMar>
            <w:top w:w="0" w:type="dxa"/>
            <w:bottom w:w="0" w:type="dxa"/>
          </w:tblCellMar>
        </w:tblPrEx>
        <w:tc>
          <w:tcPr>
            <w:tcW w:w="2800" w:type="dxa"/>
            <w:shd w:val="clear" w:color="auto" w:fill="F2F2F2"/>
            <w:tcMar>
              <w:top w:w="80" w:type="dxa"/>
              <w:left w:w="120" w:type="dxa"/>
              <w:bottom w:w="80" w:type="dxa"/>
              <w:right w:w="120" w:type="dxa"/>
            </w:tcMar>
            <w:vAlign w:val="center"/>
          </w:tcPr>
          <w:p w14:paraId="156D35BD" w14:textId="77777777" w:rsidR="00101345" w:rsidRDefault="00000000">
            <w:pPr>
              <w:spacing w:before="60" w:after="60"/>
            </w:pPr>
            <w:r>
              <w:rPr>
                <w:sz w:val="20"/>
                <w:szCs w:val="20"/>
              </w:rPr>
              <w:t>FINANCIAL_DEPTH</w:t>
            </w:r>
          </w:p>
        </w:tc>
        <w:tc>
          <w:tcPr>
            <w:tcW w:w="1640" w:type="dxa"/>
            <w:shd w:val="clear" w:color="auto" w:fill="F2F2F2"/>
            <w:tcMar>
              <w:top w:w="80" w:type="dxa"/>
              <w:left w:w="120" w:type="dxa"/>
              <w:bottom w:w="80" w:type="dxa"/>
              <w:right w:w="120" w:type="dxa"/>
            </w:tcMar>
            <w:vAlign w:val="center"/>
          </w:tcPr>
          <w:p w14:paraId="19B346D7" w14:textId="77777777" w:rsidR="00101345" w:rsidRDefault="00000000">
            <w:pPr>
              <w:spacing w:before="60" w:after="60"/>
              <w:jc w:val="center"/>
            </w:pPr>
            <w:r>
              <w:rPr>
                <w:sz w:val="20"/>
                <w:szCs w:val="20"/>
              </w:rPr>
              <w:t>-0.060***</w:t>
            </w:r>
          </w:p>
        </w:tc>
        <w:tc>
          <w:tcPr>
            <w:tcW w:w="1640" w:type="dxa"/>
            <w:shd w:val="clear" w:color="auto" w:fill="F2F2F2"/>
            <w:tcMar>
              <w:top w:w="80" w:type="dxa"/>
              <w:left w:w="120" w:type="dxa"/>
              <w:bottom w:w="80" w:type="dxa"/>
              <w:right w:w="120" w:type="dxa"/>
            </w:tcMar>
            <w:vAlign w:val="center"/>
          </w:tcPr>
          <w:p w14:paraId="0DB15BE8" w14:textId="77777777" w:rsidR="00101345" w:rsidRDefault="00000000">
            <w:pPr>
              <w:spacing w:before="60" w:after="60"/>
              <w:jc w:val="center"/>
            </w:pPr>
            <w:r>
              <w:rPr>
                <w:sz w:val="20"/>
                <w:szCs w:val="20"/>
              </w:rPr>
              <w:t>0.052***</w:t>
            </w:r>
          </w:p>
        </w:tc>
        <w:tc>
          <w:tcPr>
            <w:tcW w:w="1640" w:type="dxa"/>
            <w:shd w:val="clear" w:color="auto" w:fill="F2F2F2"/>
            <w:tcMar>
              <w:top w:w="80" w:type="dxa"/>
              <w:left w:w="120" w:type="dxa"/>
              <w:bottom w:w="80" w:type="dxa"/>
              <w:right w:w="120" w:type="dxa"/>
            </w:tcMar>
            <w:vAlign w:val="center"/>
          </w:tcPr>
          <w:p w14:paraId="681F96CA" w14:textId="77777777" w:rsidR="00101345" w:rsidRDefault="00000000">
            <w:pPr>
              <w:spacing w:before="60" w:after="60"/>
              <w:jc w:val="center"/>
            </w:pPr>
            <w:r>
              <w:rPr>
                <w:sz w:val="20"/>
                <w:szCs w:val="20"/>
              </w:rPr>
              <w:t>0.013</w:t>
            </w:r>
          </w:p>
        </w:tc>
        <w:tc>
          <w:tcPr>
            <w:tcW w:w="1640" w:type="dxa"/>
            <w:shd w:val="clear" w:color="auto" w:fill="F2F2F2"/>
            <w:tcMar>
              <w:top w:w="80" w:type="dxa"/>
              <w:left w:w="120" w:type="dxa"/>
              <w:bottom w:w="80" w:type="dxa"/>
              <w:right w:w="120" w:type="dxa"/>
            </w:tcMar>
            <w:vAlign w:val="center"/>
          </w:tcPr>
          <w:p w14:paraId="1EE8B67A" w14:textId="77777777" w:rsidR="00101345" w:rsidRDefault="00000000">
            <w:pPr>
              <w:spacing w:before="60" w:after="60"/>
              <w:jc w:val="center"/>
            </w:pPr>
            <w:r>
              <w:rPr>
                <w:sz w:val="20"/>
                <w:szCs w:val="20"/>
              </w:rPr>
              <w:t>0.000</w:t>
            </w:r>
          </w:p>
        </w:tc>
      </w:tr>
      <w:tr w:rsidR="00101345" w14:paraId="3BF89D72" w14:textId="77777777">
        <w:tblPrEx>
          <w:tblCellMar>
            <w:top w:w="0" w:type="dxa"/>
            <w:bottom w:w="0" w:type="dxa"/>
          </w:tblCellMar>
        </w:tblPrEx>
        <w:tc>
          <w:tcPr>
            <w:tcW w:w="2800" w:type="dxa"/>
            <w:tcMar>
              <w:top w:w="80" w:type="dxa"/>
              <w:left w:w="120" w:type="dxa"/>
              <w:bottom w:w="80" w:type="dxa"/>
              <w:right w:w="120" w:type="dxa"/>
            </w:tcMar>
            <w:vAlign w:val="center"/>
          </w:tcPr>
          <w:p w14:paraId="6BC378C7" w14:textId="77777777" w:rsidR="00101345" w:rsidRDefault="00000000">
            <w:pPr>
              <w:spacing w:before="60" w:after="60"/>
            </w:pPr>
            <w:r>
              <w:rPr>
                <w:sz w:val="20"/>
                <w:szCs w:val="20"/>
              </w:rPr>
              <w:t>POLITICAL_STABILITY</w:t>
            </w:r>
          </w:p>
        </w:tc>
        <w:tc>
          <w:tcPr>
            <w:tcW w:w="1640" w:type="dxa"/>
            <w:tcMar>
              <w:top w:w="80" w:type="dxa"/>
              <w:left w:w="120" w:type="dxa"/>
              <w:bottom w:w="80" w:type="dxa"/>
              <w:right w:w="120" w:type="dxa"/>
            </w:tcMar>
            <w:vAlign w:val="center"/>
          </w:tcPr>
          <w:p w14:paraId="44FD6A0C" w14:textId="77777777" w:rsidR="00101345" w:rsidRDefault="00000000">
            <w:pPr>
              <w:spacing w:before="60" w:after="60"/>
              <w:jc w:val="center"/>
            </w:pPr>
            <w:r>
              <w:rPr>
                <w:sz w:val="20"/>
                <w:szCs w:val="20"/>
              </w:rPr>
              <w:t>0.510</w:t>
            </w:r>
          </w:p>
        </w:tc>
        <w:tc>
          <w:tcPr>
            <w:tcW w:w="1640" w:type="dxa"/>
            <w:tcMar>
              <w:top w:w="80" w:type="dxa"/>
              <w:left w:w="120" w:type="dxa"/>
              <w:bottom w:w="80" w:type="dxa"/>
              <w:right w:w="120" w:type="dxa"/>
            </w:tcMar>
            <w:vAlign w:val="center"/>
          </w:tcPr>
          <w:p w14:paraId="48DA1CA9" w14:textId="77777777" w:rsidR="00101345" w:rsidRDefault="00000000">
            <w:pPr>
              <w:spacing w:before="60" w:after="60"/>
              <w:jc w:val="center"/>
            </w:pPr>
            <w:r>
              <w:rPr>
                <w:sz w:val="20"/>
                <w:szCs w:val="20"/>
              </w:rPr>
              <w:t>0.920</w:t>
            </w:r>
          </w:p>
        </w:tc>
        <w:tc>
          <w:tcPr>
            <w:tcW w:w="1640" w:type="dxa"/>
            <w:tcMar>
              <w:top w:w="80" w:type="dxa"/>
              <w:left w:w="120" w:type="dxa"/>
              <w:bottom w:w="80" w:type="dxa"/>
              <w:right w:w="120" w:type="dxa"/>
            </w:tcMar>
            <w:vAlign w:val="center"/>
          </w:tcPr>
          <w:p w14:paraId="728A521D" w14:textId="77777777" w:rsidR="00101345" w:rsidRDefault="00000000">
            <w:pPr>
              <w:spacing w:before="60" w:after="60"/>
              <w:jc w:val="center"/>
            </w:pPr>
            <w:r>
              <w:rPr>
                <w:sz w:val="20"/>
                <w:szCs w:val="20"/>
              </w:rPr>
              <w:t>0.525</w:t>
            </w:r>
          </w:p>
        </w:tc>
        <w:tc>
          <w:tcPr>
            <w:tcW w:w="1640" w:type="dxa"/>
            <w:tcMar>
              <w:top w:w="80" w:type="dxa"/>
              <w:left w:w="120" w:type="dxa"/>
              <w:bottom w:w="80" w:type="dxa"/>
              <w:right w:w="120" w:type="dxa"/>
            </w:tcMar>
            <w:vAlign w:val="center"/>
          </w:tcPr>
          <w:p w14:paraId="3F7D10C1" w14:textId="77777777" w:rsidR="00101345" w:rsidRDefault="00000000">
            <w:pPr>
              <w:spacing w:before="60" w:after="60"/>
              <w:jc w:val="center"/>
            </w:pPr>
            <w:r>
              <w:rPr>
                <w:sz w:val="20"/>
                <w:szCs w:val="20"/>
              </w:rPr>
              <w:t>0.084</w:t>
            </w:r>
          </w:p>
        </w:tc>
      </w:tr>
      <w:tr w:rsidR="00101345" w14:paraId="6CCEFC84" w14:textId="77777777">
        <w:tblPrEx>
          <w:tblCellMar>
            <w:top w:w="0" w:type="dxa"/>
            <w:bottom w:w="0" w:type="dxa"/>
          </w:tblCellMar>
        </w:tblPrEx>
        <w:tc>
          <w:tcPr>
            <w:tcW w:w="2800" w:type="dxa"/>
            <w:shd w:val="clear" w:color="auto" w:fill="F2F2F2"/>
            <w:tcMar>
              <w:top w:w="80" w:type="dxa"/>
              <w:left w:w="120" w:type="dxa"/>
              <w:bottom w:w="80" w:type="dxa"/>
              <w:right w:w="120" w:type="dxa"/>
            </w:tcMar>
            <w:vAlign w:val="center"/>
          </w:tcPr>
          <w:p w14:paraId="4BBCF661" w14:textId="77777777" w:rsidR="00101345" w:rsidRDefault="00000000">
            <w:pPr>
              <w:spacing w:before="60" w:after="60"/>
            </w:pPr>
            <w:r>
              <w:rPr>
                <w:sz w:val="20"/>
                <w:szCs w:val="20"/>
              </w:rPr>
              <w:t>R-squared</w:t>
            </w:r>
          </w:p>
        </w:tc>
        <w:tc>
          <w:tcPr>
            <w:tcW w:w="1640" w:type="dxa"/>
            <w:shd w:val="clear" w:color="auto" w:fill="F2F2F2"/>
            <w:tcMar>
              <w:top w:w="80" w:type="dxa"/>
              <w:left w:w="120" w:type="dxa"/>
              <w:bottom w:w="80" w:type="dxa"/>
              <w:right w:w="120" w:type="dxa"/>
            </w:tcMar>
            <w:vAlign w:val="center"/>
          </w:tcPr>
          <w:p w14:paraId="2B44CA85" w14:textId="77777777" w:rsidR="00101345" w:rsidRDefault="00000000">
            <w:pPr>
              <w:spacing w:before="60" w:after="60"/>
              <w:jc w:val="center"/>
            </w:pPr>
            <w:r>
              <w:rPr>
                <w:sz w:val="20"/>
                <w:szCs w:val="20"/>
              </w:rPr>
              <w:t>0.799</w:t>
            </w:r>
          </w:p>
        </w:tc>
        <w:tc>
          <w:tcPr>
            <w:tcW w:w="1640" w:type="dxa"/>
            <w:shd w:val="clear" w:color="auto" w:fill="F2F2F2"/>
            <w:tcMar>
              <w:top w:w="80" w:type="dxa"/>
              <w:left w:w="120" w:type="dxa"/>
              <w:bottom w:w="80" w:type="dxa"/>
              <w:right w:w="120" w:type="dxa"/>
            </w:tcMar>
            <w:vAlign w:val="center"/>
          </w:tcPr>
          <w:p w14:paraId="091A1DA5" w14:textId="77777777" w:rsidR="00101345" w:rsidRDefault="00000000">
            <w:pPr>
              <w:spacing w:before="60" w:after="60"/>
              <w:jc w:val="center"/>
            </w:pPr>
            <w:r>
              <w:rPr>
                <w:sz w:val="20"/>
                <w:szCs w:val="20"/>
              </w:rPr>
              <w:t>0.927</w:t>
            </w:r>
          </w:p>
        </w:tc>
        <w:tc>
          <w:tcPr>
            <w:tcW w:w="1640" w:type="dxa"/>
            <w:shd w:val="clear" w:color="auto" w:fill="F2F2F2"/>
            <w:tcMar>
              <w:top w:w="80" w:type="dxa"/>
              <w:left w:w="120" w:type="dxa"/>
              <w:bottom w:w="80" w:type="dxa"/>
              <w:right w:w="120" w:type="dxa"/>
            </w:tcMar>
            <w:vAlign w:val="center"/>
          </w:tcPr>
          <w:p w14:paraId="49F007CD" w14:textId="77777777" w:rsidR="00101345" w:rsidRDefault="00000000">
            <w:pPr>
              <w:spacing w:before="60" w:after="60"/>
              <w:jc w:val="center"/>
            </w:pPr>
            <w:r>
              <w:rPr>
                <w:sz w:val="20"/>
                <w:szCs w:val="20"/>
              </w:rPr>
              <w:t>—</w:t>
            </w:r>
          </w:p>
        </w:tc>
        <w:tc>
          <w:tcPr>
            <w:tcW w:w="1640" w:type="dxa"/>
            <w:shd w:val="clear" w:color="auto" w:fill="F2F2F2"/>
            <w:tcMar>
              <w:top w:w="80" w:type="dxa"/>
              <w:left w:w="120" w:type="dxa"/>
              <w:bottom w:w="80" w:type="dxa"/>
              <w:right w:w="120" w:type="dxa"/>
            </w:tcMar>
            <w:vAlign w:val="center"/>
          </w:tcPr>
          <w:p w14:paraId="18681A8B" w14:textId="77777777" w:rsidR="00101345" w:rsidRDefault="00000000">
            <w:pPr>
              <w:spacing w:before="60" w:after="60"/>
              <w:jc w:val="center"/>
            </w:pPr>
            <w:r>
              <w:rPr>
                <w:sz w:val="20"/>
                <w:szCs w:val="20"/>
              </w:rPr>
              <w:t>—</w:t>
            </w:r>
          </w:p>
        </w:tc>
      </w:tr>
      <w:tr w:rsidR="00101345" w14:paraId="1A4246D1" w14:textId="77777777">
        <w:tblPrEx>
          <w:tblCellMar>
            <w:top w:w="0" w:type="dxa"/>
            <w:bottom w:w="0" w:type="dxa"/>
          </w:tblCellMar>
        </w:tblPrEx>
        <w:tc>
          <w:tcPr>
            <w:tcW w:w="2800" w:type="dxa"/>
            <w:tcMar>
              <w:top w:w="80" w:type="dxa"/>
              <w:left w:w="120" w:type="dxa"/>
              <w:bottom w:w="80" w:type="dxa"/>
              <w:right w:w="120" w:type="dxa"/>
            </w:tcMar>
            <w:vAlign w:val="center"/>
          </w:tcPr>
          <w:p w14:paraId="5BBA52BB" w14:textId="77777777" w:rsidR="00101345" w:rsidRDefault="00000000">
            <w:pPr>
              <w:spacing w:before="60" w:after="60"/>
            </w:pPr>
            <w:r>
              <w:rPr>
                <w:sz w:val="20"/>
                <w:szCs w:val="20"/>
              </w:rPr>
              <w:t>Observations</w:t>
            </w:r>
          </w:p>
        </w:tc>
        <w:tc>
          <w:tcPr>
            <w:tcW w:w="1640" w:type="dxa"/>
            <w:tcMar>
              <w:top w:w="80" w:type="dxa"/>
              <w:left w:w="120" w:type="dxa"/>
              <w:bottom w:w="80" w:type="dxa"/>
              <w:right w:w="120" w:type="dxa"/>
            </w:tcMar>
            <w:vAlign w:val="center"/>
          </w:tcPr>
          <w:p w14:paraId="1604B6AA" w14:textId="77777777" w:rsidR="00101345" w:rsidRDefault="00000000">
            <w:pPr>
              <w:spacing w:before="60" w:after="60"/>
              <w:jc w:val="center"/>
            </w:pPr>
            <w:r>
              <w:rPr>
                <w:sz w:val="20"/>
                <w:szCs w:val="20"/>
              </w:rPr>
              <w:t>108</w:t>
            </w:r>
          </w:p>
        </w:tc>
        <w:tc>
          <w:tcPr>
            <w:tcW w:w="1640" w:type="dxa"/>
            <w:tcMar>
              <w:top w:w="80" w:type="dxa"/>
              <w:left w:w="120" w:type="dxa"/>
              <w:bottom w:w="80" w:type="dxa"/>
              <w:right w:w="120" w:type="dxa"/>
            </w:tcMar>
            <w:vAlign w:val="center"/>
          </w:tcPr>
          <w:p w14:paraId="4DE04C5B" w14:textId="77777777" w:rsidR="00101345" w:rsidRDefault="00000000">
            <w:pPr>
              <w:spacing w:before="60" w:after="60"/>
              <w:jc w:val="center"/>
            </w:pPr>
            <w:r>
              <w:rPr>
                <w:sz w:val="20"/>
                <w:szCs w:val="20"/>
              </w:rPr>
              <w:t>108</w:t>
            </w:r>
          </w:p>
        </w:tc>
        <w:tc>
          <w:tcPr>
            <w:tcW w:w="1640" w:type="dxa"/>
            <w:tcMar>
              <w:top w:w="80" w:type="dxa"/>
              <w:left w:w="120" w:type="dxa"/>
              <w:bottom w:w="80" w:type="dxa"/>
              <w:right w:w="120" w:type="dxa"/>
            </w:tcMar>
            <w:vAlign w:val="center"/>
          </w:tcPr>
          <w:p w14:paraId="30DE2C88" w14:textId="77777777" w:rsidR="00101345" w:rsidRDefault="00000000">
            <w:pPr>
              <w:spacing w:before="60" w:after="60"/>
              <w:jc w:val="center"/>
            </w:pPr>
            <w:r>
              <w:rPr>
                <w:sz w:val="20"/>
                <w:szCs w:val="20"/>
              </w:rPr>
              <w:t>—</w:t>
            </w:r>
          </w:p>
        </w:tc>
        <w:tc>
          <w:tcPr>
            <w:tcW w:w="1640" w:type="dxa"/>
            <w:tcMar>
              <w:top w:w="80" w:type="dxa"/>
              <w:left w:w="120" w:type="dxa"/>
              <w:bottom w:w="80" w:type="dxa"/>
              <w:right w:w="120" w:type="dxa"/>
            </w:tcMar>
            <w:vAlign w:val="center"/>
          </w:tcPr>
          <w:p w14:paraId="565F1F58" w14:textId="77777777" w:rsidR="00101345" w:rsidRDefault="00000000">
            <w:pPr>
              <w:spacing w:before="60" w:after="60"/>
              <w:jc w:val="center"/>
            </w:pPr>
            <w:r>
              <w:rPr>
                <w:sz w:val="20"/>
                <w:szCs w:val="20"/>
              </w:rPr>
              <w:t>—</w:t>
            </w:r>
          </w:p>
        </w:tc>
      </w:tr>
      <w:tr w:rsidR="00101345" w14:paraId="030FFC50" w14:textId="77777777">
        <w:tblPrEx>
          <w:tblCellMar>
            <w:top w:w="0" w:type="dxa"/>
            <w:bottom w:w="0" w:type="dxa"/>
          </w:tblCellMar>
        </w:tblPrEx>
        <w:tc>
          <w:tcPr>
            <w:tcW w:w="2800" w:type="dxa"/>
            <w:shd w:val="clear" w:color="auto" w:fill="F2F2F2"/>
            <w:tcMar>
              <w:top w:w="80" w:type="dxa"/>
              <w:left w:w="120" w:type="dxa"/>
              <w:bottom w:w="80" w:type="dxa"/>
              <w:right w:w="120" w:type="dxa"/>
            </w:tcMar>
            <w:vAlign w:val="center"/>
          </w:tcPr>
          <w:p w14:paraId="7BA37D37" w14:textId="77777777" w:rsidR="00101345" w:rsidRDefault="00000000">
            <w:pPr>
              <w:spacing w:before="60" w:after="60"/>
            </w:pPr>
            <w:r>
              <w:rPr>
                <w:sz w:val="20"/>
                <w:szCs w:val="20"/>
              </w:rPr>
              <w:t>Country FE</w:t>
            </w:r>
          </w:p>
        </w:tc>
        <w:tc>
          <w:tcPr>
            <w:tcW w:w="1640" w:type="dxa"/>
            <w:shd w:val="clear" w:color="auto" w:fill="F2F2F2"/>
            <w:tcMar>
              <w:top w:w="80" w:type="dxa"/>
              <w:left w:w="120" w:type="dxa"/>
              <w:bottom w:w="80" w:type="dxa"/>
              <w:right w:w="120" w:type="dxa"/>
            </w:tcMar>
            <w:vAlign w:val="center"/>
          </w:tcPr>
          <w:p w14:paraId="4A079726" w14:textId="77777777" w:rsidR="00101345" w:rsidRDefault="00000000">
            <w:pPr>
              <w:spacing w:before="60" w:after="60"/>
              <w:jc w:val="center"/>
            </w:pPr>
            <w:r>
              <w:rPr>
                <w:sz w:val="20"/>
                <w:szCs w:val="20"/>
              </w:rPr>
              <w:t>No</w:t>
            </w:r>
          </w:p>
        </w:tc>
        <w:tc>
          <w:tcPr>
            <w:tcW w:w="1640" w:type="dxa"/>
            <w:shd w:val="clear" w:color="auto" w:fill="F2F2F2"/>
            <w:tcMar>
              <w:top w:w="80" w:type="dxa"/>
              <w:left w:w="120" w:type="dxa"/>
              <w:bottom w:w="80" w:type="dxa"/>
              <w:right w:w="120" w:type="dxa"/>
            </w:tcMar>
            <w:vAlign w:val="center"/>
          </w:tcPr>
          <w:p w14:paraId="203E6380" w14:textId="77777777" w:rsidR="00101345" w:rsidRDefault="00000000">
            <w:pPr>
              <w:spacing w:before="60" w:after="60"/>
              <w:jc w:val="center"/>
            </w:pPr>
            <w:r>
              <w:rPr>
                <w:sz w:val="20"/>
                <w:szCs w:val="20"/>
              </w:rPr>
              <w:t>Yes</w:t>
            </w:r>
          </w:p>
        </w:tc>
        <w:tc>
          <w:tcPr>
            <w:tcW w:w="1640" w:type="dxa"/>
            <w:shd w:val="clear" w:color="auto" w:fill="F2F2F2"/>
            <w:tcMar>
              <w:top w:w="80" w:type="dxa"/>
              <w:left w:w="120" w:type="dxa"/>
              <w:bottom w:w="80" w:type="dxa"/>
              <w:right w:w="120" w:type="dxa"/>
            </w:tcMar>
            <w:vAlign w:val="center"/>
          </w:tcPr>
          <w:p w14:paraId="147BDF0C" w14:textId="77777777" w:rsidR="00101345" w:rsidRDefault="00000000">
            <w:pPr>
              <w:spacing w:before="60" w:after="60"/>
              <w:jc w:val="center"/>
            </w:pPr>
            <w:r>
              <w:rPr>
                <w:sz w:val="20"/>
                <w:szCs w:val="20"/>
              </w:rPr>
              <w:t>—</w:t>
            </w:r>
          </w:p>
        </w:tc>
        <w:tc>
          <w:tcPr>
            <w:tcW w:w="1640" w:type="dxa"/>
            <w:shd w:val="clear" w:color="auto" w:fill="F2F2F2"/>
            <w:tcMar>
              <w:top w:w="80" w:type="dxa"/>
              <w:left w:w="120" w:type="dxa"/>
              <w:bottom w:w="80" w:type="dxa"/>
              <w:right w:w="120" w:type="dxa"/>
            </w:tcMar>
            <w:vAlign w:val="center"/>
          </w:tcPr>
          <w:p w14:paraId="6F289604" w14:textId="77777777" w:rsidR="00101345" w:rsidRDefault="00000000">
            <w:pPr>
              <w:spacing w:before="60" w:after="60"/>
              <w:jc w:val="center"/>
            </w:pPr>
            <w:r>
              <w:rPr>
                <w:sz w:val="20"/>
                <w:szCs w:val="20"/>
              </w:rPr>
              <w:t>—</w:t>
            </w:r>
          </w:p>
        </w:tc>
      </w:tr>
      <w:tr w:rsidR="00101345" w14:paraId="3EA0A1B9" w14:textId="77777777">
        <w:tblPrEx>
          <w:tblCellMar>
            <w:top w:w="0" w:type="dxa"/>
            <w:bottom w:w="0" w:type="dxa"/>
          </w:tblCellMar>
        </w:tblPrEx>
        <w:tc>
          <w:tcPr>
            <w:tcW w:w="2800" w:type="dxa"/>
            <w:tcMar>
              <w:top w:w="80" w:type="dxa"/>
              <w:left w:w="120" w:type="dxa"/>
              <w:bottom w:w="80" w:type="dxa"/>
              <w:right w:w="120" w:type="dxa"/>
            </w:tcMar>
            <w:vAlign w:val="center"/>
          </w:tcPr>
          <w:p w14:paraId="174F290F" w14:textId="77777777" w:rsidR="00101345" w:rsidRDefault="00000000">
            <w:pPr>
              <w:spacing w:before="60" w:after="60"/>
            </w:pPr>
            <w:r>
              <w:rPr>
                <w:sz w:val="20"/>
                <w:szCs w:val="20"/>
              </w:rPr>
              <w:t>Period FE</w:t>
            </w:r>
          </w:p>
        </w:tc>
        <w:tc>
          <w:tcPr>
            <w:tcW w:w="1640" w:type="dxa"/>
            <w:tcMar>
              <w:top w:w="80" w:type="dxa"/>
              <w:left w:w="120" w:type="dxa"/>
              <w:bottom w:w="80" w:type="dxa"/>
              <w:right w:w="120" w:type="dxa"/>
            </w:tcMar>
            <w:vAlign w:val="center"/>
          </w:tcPr>
          <w:p w14:paraId="52E6ED6E" w14:textId="77777777" w:rsidR="00101345" w:rsidRDefault="00000000">
            <w:pPr>
              <w:spacing w:before="60" w:after="60"/>
              <w:jc w:val="center"/>
            </w:pPr>
            <w:r>
              <w:rPr>
                <w:sz w:val="20"/>
                <w:szCs w:val="20"/>
              </w:rPr>
              <w:t>No</w:t>
            </w:r>
          </w:p>
        </w:tc>
        <w:tc>
          <w:tcPr>
            <w:tcW w:w="1640" w:type="dxa"/>
            <w:tcMar>
              <w:top w:w="80" w:type="dxa"/>
              <w:left w:w="120" w:type="dxa"/>
              <w:bottom w:w="80" w:type="dxa"/>
              <w:right w:w="120" w:type="dxa"/>
            </w:tcMar>
            <w:vAlign w:val="center"/>
          </w:tcPr>
          <w:p w14:paraId="002F82A9" w14:textId="77777777" w:rsidR="00101345" w:rsidRDefault="00000000">
            <w:pPr>
              <w:spacing w:before="60" w:after="60"/>
              <w:jc w:val="center"/>
            </w:pPr>
            <w:r>
              <w:rPr>
                <w:sz w:val="20"/>
                <w:szCs w:val="20"/>
              </w:rPr>
              <w:t>Yes</w:t>
            </w:r>
          </w:p>
        </w:tc>
        <w:tc>
          <w:tcPr>
            <w:tcW w:w="1640" w:type="dxa"/>
            <w:tcMar>
              <w:top w:w="80" w:type="dxa"/>
              <w:left w:w="120" w:type="dxa"/>
              <w:bottom w:w="80" w:type="dxa"/>
              <w:right w:w="120" w:type="dxa"/>
            </w:tcMar>
            <w:vAlign w:val="center"/>
          </w:tcPr>
          <w:p w14:paraId="39B43DE0" w14:textId="77777777" w:rsidR="00101345" w:rsidRDefault="00000000">
            <w:pPr>
              <w:spacing w:before="60" w:after="60"/>
              <w:jc w:val="center"/>
            </w:pPr>
            <w:r>
              <w:rPr>
                <w:sz w:val="20"/>
                <w:szCs w:val="20"/>
              </w:rPr>
              <w:t>—</w:t>
            </w:r>
          </w:p>
        </w:tc>
        <w:tc>
          <w:tcPr>
            <w:tcW w:w="1640" w:type="dxa"/>
            <w:tcMar>
              <w:top w:w="80" w:type="dxa"/>
              <w:left w:w="120" w:type="dxa"/>
              <w:bottom w:w="80" w:type="dxa"/>
              <w:right w:w="120" w:type="dxa"/>
            </w:tcMar>
            <w:vAlign w:val="center"/>
          </w:tcPr>
          <w:p w14:paraId="52B681DB" w14:textId="77777777" w:rsidR="00101345" w:rsidRDefault="00000000">
            <w:pPr>
              <w:spacing w:before="60" w:after="60"/>
              <w:jc w:val="center"/>
            </w:pPr>
            <w:r>
              <w:rPr>
                <w:sz w:val="20"/>
                <w:szCs w:val="20"/>
              </w:rPr>
              <w:t>—</w:t>
            </w:r>
          </w:p>
        </w:tc>
      </w:tr>
    </w:tbl>
    <w:p w14:paraId="33691704" w14:textId="77777777" w:rsidR="00101345" w:rsidRDefault="00000000">
      <w:pPr>
        <w:spacing w:before="60" w:after="160"/>
      </w:pPr>
      <w:r>
        <w:rPr>
          <w:i/>
          <w:iCs/>
          <w:color w:val="BFBFBF"/>
          <w:sz w:val="18"/>
          <w:szCs w:val="18"/>
        </w:rPr>
        <w:t>Note: *** p&lt;0.01, ** p&lt;0.05, * p&lt;0.10. Two-Way FE is the preferred specification based on Hausman Test (χ²=332.58, p=0.000).</w:t>
      </w:r>
    </w:p>
    <w:p w14:paraId="61A4C201" w14:textId="77777777" w:rsidR="00101345" w:rsidRDefault="00000000">
      <w:pPr>
        <w:pStyle w:val="Heading2"/>
        <w:spacing w:before="200" w:after="100"/>
      </w:pPr>
      <w:r>
        <w:rPr>
          <w:b/>
          <w:bCs/>
          <w:color w:val="1F3864"/>
          <w:sz w:val="24"/>
          <w:szCs w:val="24"/>
          <w:u w:val="single"/>
        </w:rPr>
        <w:t>5.2 Interpretation of Key Findings</w:t>
      </w:r>
    </w:p>
    <w:p w14:paraId="08B37A22" w14:textId="77777777" w:rsidR="00101345" w:rsidRDefault="00000000">
      <w:pPr>
        <w:spacing w:after="140" w:line="288" w:lineRule="auto"/>
        <w:jc w:val="both"/>
      </w:pPr>
      <w:r>
        <w:t>The central finding of this study is that CPEC did not produce a statistically significant increase in Pakistan's FDI inflows relative to the control group, once country-level heterogeneity and common time trends are controlled for. The Two-Way Fixed Effects DiD estimator is -0.463 percentage points of GDP (p = 0.453), which is both economically small and statistically indistinguishable from zero. The contrast with the Pooled OLS result (-1.573, p = 0.044) illustrates the importance of controlling for country fixed effects: the negative Pooled OLS result was driven by the fact that Pakistan's FDI levels are structurally lower than most control countries, not by any post-CPEC dynamic.</w:t>
      </w:r>
    </w:p>
    <w:p w14:paraId="68610EB1" w14:textId="77777777" w:rsidR="00101345" w:rsidRDefault="00000000">
      <w:pPr>
        <w:spacing w:after="140" w:line="288" w:lineRule="auto"/>
        <w:jc w:val="both"/>
      </w:pPr>
      <w:r>
        <w:t>Among the control variables, log GDP per capita is negative and significant (-1.826, p = 0.017), consistent with the hypothesis that FDI as a share of GDP tends to be higher in lower-income countries where returns on investment are greater. Infrastructure is positive and significant (0.023, p = 0.006), confirming that better connectivity attracts investment. Financial depth is positive and significant (0.052, p = 0.000), suggesting that deeper financial systems facilitate FDI. Political stability is positive but falls just short of the 5% significance threshold (0.920, p = 0.084).</w:t>
      </w:r>
    </w:p>
    <w:p w14:paraId="698717BD" w14:textId="77777777" w:rsidR="00170FC1" w:rsidRDefault="00170FC1">
      <w:pPr>
        <w:spacing w:after="140" w:line="288" w:lineRule="auto"/>
        <w:jc w:val="both"/>
      </w:pPr>
    </w:p>
    <w:p w14:paraId="6E7D79CF" w14:textId="77777777" w:rsidR="00101345" w:rsidRDefault="00000000">
      <w:pPr>
        <w:pStyle w:val="Heading2"/>
        <w:spacing w:before="200" w:after="100"/>
      </w:pPr>
      <w:r>
        <w:rPr>
          <w:b/>
          <w:bCs/>
          <w:color w:val="1F3864"/>
          <w:sz w:val="24"/>
          <w:szCs w:val="24"/>
          <w:u w:val="single"/>
        </w:rPr>
        <w:lastRenderedPageBreak/>
        <w:t>5.3 Parallel Trends Assessment</w:t>
      </w:r>
    </w:p>
    <w:p w14:paraId="5EB6EE69" w14:textId="77777777" w:rsidR="00101345" w:rsidRDefault="00000000">
      <w:pPr>
        <w:spacing w:after="140" w:line="288" w:lineRule="auto"/>
        <w:jc w:val="both"/>
      </w:pPr>
      <w:r>
        <w:t xml:space="preserve">The parallel trends assumption — the identifying assumption of the DiD design — requires that in the absence of CPEC, Pakistan's FDI trajectory would have evolved parallel to the control group's trajectory. Visual inspection of country-level FDI trends over 2005–2022 reveals that Pakistan, Bangladesh, and Indonesia share broadly similar declining or flat pre-2015 trajectories. Vietnam and Cambodia operate at structurally higher FDI levels, though country fixed effects control for level differences. The Philippines exhibits a rising pre-2012 trend that diverges somewhat from Pakistan's declining trajectory, representing the most notable caveat on the parallel </w:t>
      </w:r>
      <w:proofErr w:type="gramStart"/>
      <w:r>
        <w:t>trends</w:t>
      </w:r>
      <w:proofErr w:type="gramEnd"/>
      <w:r>
        <w:t xml:space="preserve"> assumption.</w:t>
      </w:r>
    </w:p>
    <w:p w14:paraId="2AE527DC" w14:textId="77777777" w:rsidR="00101345" w:rsidRDefault="00000000">
      <w:pPr>
        <w:spacing w:after="140" w:line="288" w:lineRule="auto"/>
        <w:jc w:val="both"/>
      </w:pPr>
      <w:r>
        <w:t xml:space="preserve">Importantly, the event study provides formal statistical evidence on the parallel </w:t>
      </w:r>
      <w:proofErr w:type="gramStart"/>
      <w:r>
        <w:t>trends</w:t>
      </w:r>
      <w:proofErr w:type="gramEnd"/>
      <w:r>
        <w:t xml:space="preserve"> assumption. All nine pre-treatment year coefficients (2005–2013, relative to base year 2014) are statistically insignificant, with p-values ranging from 0.362 to 0.932. This confirms that Pakistan did not exhibit systematically different FDI dynamics from the control group in any pre-treatment year, providing strong formal support for the parallel </w:t>
      </w:r>
      <w:proofErr w:type="gramStart"/>
      <w:r>
        <w:t>trends</w:t>
      </w:r>
      <w:proofErr w:type="gramEnd"/>
      <w:r>
        <w:t xml:space="preserve"> assumption.</w:t>
      </w:r>
    </w:p>
    <w:p w14:paraId="3436E41C" w14:textId="77777777" w:rsidR="00101345" w:rsidRDefault="00101345">
      <w:pPr>
        <w:spacing w:after="80"/>
      </w:pPr>
    </w:p>
    <w:p w14:paraId="38D9E110" w14:textId="77777777" w:rsidR="00101345" w:rsidRDefault="00000000">
      <w:r>
        <w:br w:type="page"/>
      </w:r>
    </w:p>
    <w:p w14:paraId="199BE2F4" w14:textId="77777777" w:rsidR="00101345" w:rsidRDefault="00000000">
      <w:pPr>
        <w:pStyle w:val="Heading1"/>
        <w:shd w:val="clear" w:color="auto" w:fill="1F3864"/>
        <w:spacing w:before="320" w:after="160"/>
        <w:ind w:left="144" w:right="144"/>
      </w:pPr>
      <w:r>
        <w:rPr>
          <w:b/>
          <w:bCs/>
          <w:color w:val="FFFFFF"/>
          <w:sz w:val="28"/>
          <w:szCs w:val="28"/>
        </w:rPr>
        <w:lastRenderedPageBreak/>
        <w:t>6. Event Study Results</w:t>
      </w:r>
    </w:p>
    <w:p w14:paraId="0C5E70B4" w14:textId="77777777" w:rsidR="00101345" w:rsidRDefault="00101345">
      <w:pPr>
        <w:spacing w:after="80"/>
      </w:pPr>
    </w:p>
    <w:p w14:paraId="1E165680" w14:textId="77777777" w:rsidR="00101345" w:rsidRDefault="00000000">
      <w:pPr>
        <w:pStyle w:val="Heading2"/>
        <w:spacing w:before="200" w:after="100"/>
      </w:pPr>
      <w:r>
        <w:rPr>
          <w:b/>
          <w:bCs/>
          <w:color w:val="1F3864"/>
          <w:sz w:val="24"/>
          <w:szCs w:val="24"/>
          <w:u w:val="single"/>
        </w:rPr>
        <w:t>6.1 Year-by-Year Coefficient Estimates</w:t>
      </w:r>
    </w:p>
    <w:p w14:paraId="5A012D50" w14:textId="77777777" w:rsidR="00101345" w:rsidRDefault="001013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00"/>
        <w:gridCol w:w="2000"/>
        <w:gridCol w:w="1800"/>
        <w:gridCol w:w="1800"/>
      </w:tblGrid>
      <w:tr w:rsidR="00101345" w14:paraId="4C86335B" w14:textId="77777777">
        <w:tblPrEx>
          <w:tblCellMar>
            <w:top w:w="0" w:type="dxa"/>
            <w:bottom w:w="0" w:type="dxa"/>
          </w:tblCellMar>
        </w:tblPrEx>
        <w:trPr>
          <w:tblHeader/>
        </w:trPr>
        <w:tc>
          <w:tcPr>
            <w:tcW w:w="1560" w:type="dxa"/>
            <w:shd w:val="clear" w:color="auto" w:fill="1F3864"/>
            <w:tcMar>
              <w:top w:w="80" w:type="dxa"/>
              <w:left w:w="120" w:type="dxa"/>
              <w:bottom w:w="80" w:type="dxa"/>
              <w:right w:w="120" w:type="dxa"/>
            </w:tcMar>
            <w:vAlign w:val="center"/>
          </w:tcPr>
          <w:p w14:paraId="7A343478" w14:textId="77777777" w:rsidR="00101345" w:rsidRDefault="00000000">
            <w:pPr>
              <w:spacing w:before="60" w:after="60"/>
              <w:jc w:val="center"/>
            </w:pPr>
            <w:r>
              <w:rPr>
                <w:b/>
                <w:bCs/>
                <w:color w:val="FFFFFF"/>
                <w:sz w:val="20"/>
                <w:szCs w:val="20"/>
              </w:rPr>
              <w:t>Year</w:t>
            </w:r>
          </w:p>
        </w:tc>
        <w:tc>
          <w:tcPr>
            <w:tcW w:w="2200" w:type="dxa"/>
            <w:shd w:val="clear" w:color="auto" w:fill="1F3864"/>
            <w:tcMar>
              <w:top w:w="80" w:type="dxa"/>
              <w:left w:w="120" w:type="dxa"/>
              <w:bottom w:w="80" w:type="dxa"/>
              <w:right w:w="120" w:type="dxa"/>
            </w:tcMar>
            <w:vAlign w:val="center"/>
          </w:tcPr>
          <w:p w14:paraId="3FCDDAB4" w14:textId="77777777" w:rsidR="00101345" w:rsidRDefault="00000000">
            <w:pPr>
              <w:spacing w:before="60" w:after="60"/>
              <w:jc w:val="center"/>
            </w:pPr>
            <w:r>
              <w:rPr>
                <w:b/>
                <w:bCs/>
                <w:color w:val="FFFFFF"/>
                <w:sz w:val="20"/>
                <w:szCs w:val="20"/>
              </w:rPr>
              <w:t>Coefficient</w:t>
            </w:r>
          </w:p>
        </w:tc>
        <w:tc>
          <w:tcPr>
            <w:tcW w:w="2000" w:type="dxa"/>
            <w:shd w:val="clear" w:color="auto" w:fill="1F3864"/>
            <w:tcMar>
              <w:top w:w="80" w:type="dxa"/>
              <w:left w:w="120" w:type="dxa"/>
              <w:bottom w:w="80" w:type="dxa"/>
              <w:right w:w="120" w:type="dxa"/>
            </w:tcMar>
            <w:vAlign w:val="center"/>
          </w:tcPr>
          <w:p w14:paraId="574BEFA6" w14:textId="77777777" w:rsidR="00101345" w:rsidRDefault="00000000">
            <w:pPr>
              <w:spacing w:before="60" w:after="60"/>
              <w:jc w:val="center"/>
            </w:pPr>
            <w:r>
              <w:rPr>
                <w:b/>
                <w:bCs/>
                <w:color w:val="FFFFFF"/>
                <w:sz w:val="20"/>
                <w:szCs w:val="20"/>
              </w:rPr>
              <w:t>Std. Error</w:t>
            </w:r>
          </w:p>
        </w:tc>
        <w:tc>
          <w:tcPr>
            <w:tcW w:w="1800" w:type="dxa"/>
            <w:shd w:val="clear" w:color="auto" w:fill="1F3864"/>
            <w:tcMar>
              <w:top w:w="80" w:type="dxa"/>
              <w:left w:w="120" w:type="dxa"/>
              <w:bottom w:w="80" w:type="dxa"/>
              <w:right w:w="120" w:type="dxa"/>
            </w:tcMar>
            <w:vAlign w:val="center"/>
          </w:tcPr>
          <w:p w14:paraId="17359F5B" w14:textId="77777777" w:rsidR="00101345" w:rsidRDefault="00000000">
            <w:pPr>
              <w:spacing w:before="60" w:after="60"/>
              <w:jc w:val="center"/>
            </w:pPr>
            <w:r>
              <w:rPr>
                <w:b/>
                <w:bCs/>
                <w:color w:val="FFFFFF"/>
                <w:sz w:val="20"/>
                <w:szCs w:val="20"/>
              </w:rPr>
              <w:t>t-Statistic</w:t>
            </w:r>
          </w:p>
        </w:tc>
        <w:tc>
          <w:tcPr>
            <w:tcW w:w="1800" w:type="dxa"/>
            <w:shd w:val="clear" w:color="auto" w:fill="1F3864"/>
            <w:tcMar>
              <w:top w:w="80" w:type="dxa"/>
              <w:left w:w="120" w:type="dxa"/>
              <w:bottom w:w="80" w:type="dxa"/>
              <w:right w:w="120" w:type="dxa"/>
            </w:tcMar>
            <w:vAlign w:val="center"/>
          </w:tcPr>
          <w:p w14:paraId="7F2F16AF" w14:textId="77777777" w:rsidR="00101345" w:rsidRDefault="00000000">
            <w:pPr>
              <w:spacing w:before="60" w:after="60"/>
              <w:jc w:val="center"/>
            </w:pPr>
            <w:r>
              <w:rPr>
                <w:b/>
                <w:bCs/>
                <w:color w:val="FFFFFF"/>
                <w:sz w:val="20"/>
                <w:szCs w:val="20"/>
              </w:rPr>
              <w:t>p-value</w:t>
            </w:r>
          </w:p>
        </w:tc>
      </w:tr>
      <w:tr w:rsidR="00101345" w14:paraId="62DAE190" w14:textId="77777777">
        <w:tblPrEx>
          <w:tblCellMar>
            <w:top w:w="0" w:type="dxa"/>
            <w:bottom w:w="0" w:type="dxa"/>
          </w:tblCellMar>
        </w:tblPrEx>
        <w:tc>
          <w:tcPr>
            <w:tcW w:w="1560" w:type="dxa"/>
            <w:shd w:val="clear" w:color="auto" w:fill="D6E4F0"/>
            <w:tcMar>
              <w:top w:w="80" w:type="dxa"/>
              <w:left w:w="120" w:type="dxa"/>
              <w:bottom w:w="80" w:type="dxa"/>
              <w:right w:w="120" w:type="dxa"/>
            </w:tcMar>
            <w:vAlign w:val="center"/>
          </w:tcPr>
          <w:p w14:paraId="536D0698" w14:textId="77777777" w:rsidR="00101345" w:rsidRDefault="00000000">
            <w:pPr>
              <w:spacing w:before="60" w:after="60"/>
              <w:jc w:val="center"/>
            </w:pPr>
            <w:r>
              <w:rPr>
                <w:sz w:val="20"/>
                <w:szCs w:val="20"/>
              </w:rPr>
              <w:t>2005</w:t>
            </w:r>
          </w:p>
        </w:tc>
        <w:tc>
          <w:tcPr>
            <w:tcW w:w="2200" w:type="dxa"/>
            <w:shd w:val="clear" w:color="auto" w:fill="D6E4F0"/>
            <w:tcMar>
              <w:top w:w="80" w:type="dxa"/>
              <w:left w:w="120" w:type="dxa"/>
              <w:bottom w:w="80" w:type="dxa"/>
              <w:right w:w="120" w:type="dxa"/>
            </w:tcMar>
            <w:vAlign w:val="center"/>
          </w:tcPr>
          <w:p w14:paraId="18A2DB93" w14:textId="77777777" w:rsidR="00101345" w:rsidRDefault="00000000">
            <w:pPr>
              <w:spacing w:before="60" w:after="60"/>
              <w:jc w:val="center"/>
            </w:pPr>
            <w:r>
              <w:rPr>
                <w:sz w:val="20"/>
                <w:szCs w:val="20"/>
              </w:rPr>
              <w:t>0.739</w:t>
            </w:r>
          </w:p>
        </w:tc>
        <w:tc>
          <w:tcPr>
            <w:tcW w:w="2000" w:type="dxa"/>
            <w:shd w:val="clear" w:color="auto" w:fill="D6E4F0"/>
            <w:tcMar>
              <w:top w:w="80" w:type="dxa"/>
              <w:left w:w="120" w:type="dxa"/>
              <w:bottom w:w="80" w:type="dxa"/>
              <w:right w:w="120" w:type="dxa"/>
            </w:tcMar>
            <w:vAlign w:val="center"/>
          </w:tcPr>
          <w:p w14:paraId="3ACE4E86" w14:textId="77777777" w:rsidR="00101345" w:rsidRDefault="00000000">
            <w:pPr>
              <w:spacing w:before="60" w:after="60"/>
              <w:jc w:val="center"/>
            </w:pPr>
            <w:r>
              <w:rPr>
                <w:sz w:val="20"/>
                <w:szCs w:val="20"/>
              </w:rPr>
              <w:t>1.906</w:t>
            </w:r>
          </w:p>
        </w:tc>
        <w:tc>
          <w:tcPr>
            <w:tcW w:w="1800" w:type="dxa"/>
            <w:shd w:val="clear" w:color="auto" w:fill="D6E4F0"/>
            <w:tcMar>
              <w:top w:w="80" w:type="dxa"/>
              <w:left w:w="120" w:type="dxa"/>
              <w:bottom w:w="80" w:type="dxa"/>
              <w:right w:w="120" w:type="dxa"/>
            </w:tcMar>
            <w:vAlign w:val="center"/>
          </w:tcPr>
          <w:p w14:paraId="17A74665" w14:textId="77777777" w:rsidR="00101345" w:rsidRDefault="00000000">
            <w:pPr>
              <w:spacing w:before="60" w:after="60"/>
              <w:jc w:val="center"/>
            </w:pPr>
            <w:r>
              <w:rPr>
                <w:sz w:val="20"/>
                <w:szCs w:val="20"/>
              </w:rPr>
              <w:t>0.388</w:t>
            </w:r>
          </w:p>
        </w:tc>
        <w:tc>
          <w:tcPr>
            <w:tcW w:w="1800" w:type="dxa"/>
            <w:shd w:val="clear" w:color="auto" w:fill="D6E4F0"/>
            <w:tcMar>
              <w:top w:w="80" w:type="dxa"/>
              <w:left w:w="120" w:type="dxa"/>
              <w:bottom w:w="80" w:type="dxa"/>
              <w:right w:w="120" w:type="dxa"/>
            </w:tcMar>
            <w:vAlign w:val="center"/>
          </w:tcPr>
          <w:p w14:paraId="074450C2" w14:textId="77777777" w:rsidR="00101345" w:rsidRDefault="00000000">
            <w:pPr>
              <w:spacing w:before="60" w:after="60"/>
              <w:jc w:val="center"/>
            </w:pPr>
            <w:r>
              <w:rPr>
                <w:sz w:val="20"/>
                <w:szCs w:val="20"/>
              </w:rPr>
              <w:t>0.700</w:t>
            </w:r>
          </w:p>
        </w:tc>
      </w:tr>
      <w:tr w:rsidR="00101345" w14:paraId="7CCD9886" w14:textId="77777777">
        <w:tblPrEx>
          <w:tblCellMar>
            <w:top w:w="0" w:type="dxa"/>
            <w:bottom w:w="0" w:type="dxa"/>
          </w:tblCellMar>
        </w:tblPrEx>
        <w:tc>
          <w:tcPr>
            <w:tcW w:w="1560" w:type="dxa"/>
            <w:shd w:val="clear" w:color="auto" w:fill="F2F2F2"/>
            <w:tcMar>
              <w:top w:w="80" w:type="dxa"/>
              <w:left w:w="120" w:type="dxa"/>
              <w:bottom w:w="80" w:type="dxa"/>
              <w:right w:w="120" w:type="dxa"/>
            </w:tcMar>
            <w:vAlign w:val="center"/>
          </w:tcPr>
          <w:p w14:paraId="020C4F45" w14:textId="77777777" w:rsidR="00101345" w:rsidRDefault="00000000">
            <w:pPr>
              <w:spacing w:before="60" w:after="60"/>
              <w:jc w:val="center"/>
            </w:pPr>
            <w:r>
              <w:rPr>
                <w:sz w:val="20"/>
                <w:szCs w:val="20"/>
              </w:rPr>
              <w:t>2006</w:t>
            </w:r>
          </w:p>
        </w:tc>
        <w:tc>
          <w:tcPr>
            <w:tcW w:w="2200" w:type="dxa"/>
            <w:shd w:val="clear" w:color="auto" w:fill="F2F2F2"/>
            <w:tcMar>
              <w:top w:w="80" w:type="dxa"/>
              <w:left w:w="120" w:type="dxa"/>
              <w:bottom w:w="80" w:type="dxa"/>
              <w:right w:w="120" w:type="dxa"/>
            </w:tcMar>
            <w:vAlign w:val="center"/>
          </w:tcPr>
          <w:p w14:paraId="2D49CA82" w14:textId="77777777" w:rsidR="00101345" w:rsidRDefault="00000000">
            <w:pPr>
              <w:spacing w:before="60" w:after="60"/>
              <w:jc w:val="center"/>
            </w:pPr>
            <w:r>
              <w:rPr>
                <w:sz w:val="20"/>
                <w:szCs w:val="20"/>
              </w:rPr>
              <w:t>1.711</w:t>
            </w:r>
          </w:p>
        </w:tc>
        <w:tc>
          <w:tcPr>
            <w:tcW w:w="2000" w:type="dxa"/>
            <w:shd w:val="clear" w:color="auto" w:fill="F2F2F2"/>
            <w:tcMar>
              <w:top w:w="80" w:type="dxa"/>
              <w:left w:w="120" w:type="dxa"/>
              <w:bottom w:w="80" w:type="dxa"/>
              <w:right w:w="120" w:type="dxa"/>
            </w:tcMar>
            <w:vAlign w:val="center"/>
          </w:tcPr>
          <w:p w14:paraId="02EA98CD" w14:textId="77777777" w:rsidR="00101345" w:rsidRDefault="00000000">
            <w:pPr>
              <w:spacing w:before="60" w:after="60"/>
              <w:jc w:val="center"/>
            </w:pPr>
            <w:r>
              <w:rPr>
                <w:sz w:val="20"/>
                <w:szCs w:val="20"/>
              </w:rPr>
              <w:t>1.862</w:t>
            </w:r>
          </w:p>
        </w:tc>
        <w:tc>
          <w:tcPr>
            <w:tcW w:w="1800" w:type="dxa"/>
            <w:shd w:val="clear" w:color="auto" w:fill="F2F2F2"/>
            <w:tcMar>
              <w:top w:w="80" w:type="dxa"/>
              <w:left w:w="120" w:type="dxa"/>
              <w:bottom w:w="80" w:type="dxa"/>
              <w:right w:w="120" w:type="dxa"/>
            </w:tcMar>
            <w:vAlign w:val="center"/>
          </w:tcPr>
          <w:p w14:paraId="7CF4A418" w14:textId="77777777" w:rsidR="00101345" w:rsidRDefault="00000000">
            <w:pPr>
              <w:spacing w:before="60" w:after="60"/>
              <w:jc w:val="center"/>
            </w:pPr>
            <w:r>
              <w:rPr>
                <w:sz w:val="20"/>
                <w:szCs w:val="20"/>
              </w:rPr>
              <w:t>0.919</w:t>
            </w:r>
          </w:p>
        </w:tc>
        <w:tc>
          <w:tcPr>
            <w:tcW w:w="1800" w:type="dxa"/>
            <w:shd w:val="clear" w:color="auto" w:fill="F2F2F2"/>
            <w:tcMar>
              <w:top w:w="80" w:type="dxa"/>
              <w:left w:w="120" w:type="dxa"/>
              <w:bottom w:w="80" w:type="dxa"/>
              <w:right w:w="120" w:type="dxa"/>
            </w:tcMar>
            <w:vAlign w:val="center"/>
          </w:tcPr>
          <w:p w14:paraId="504832B1" w14:textId="77777777" w:rsidR="00101345" w:rsidRDefault="00000000">
            <w:pPr>
              <w:spacing w:before="60" w:after="60"/>
              <w:jc w:val="center"/>
            </w:pPr>
            <w:r>
              <w:rPr>
                <w:sz w:val="20"/>
                <w:szCs w:val="20"/>
              </w:rPr>
              <w:t>0.362</w:t>
            </w:r>
          </w:p>
        </w:tc>
      </w:tr>
      <w:tr w:rsidR="00101345" w14:paraId="30F4E25C" w14:textId="77777777">
        <w:tblPrEx>
          <w:tblCellMar>
            <w:top w:w="0" w:type="dxa"/>
            <w:bottom w:w="0" w:type="dxa"/>
          </w:tblCellMar>
        </w:tblPrEx>
        <w:tc>
          <w:tcPr>
            <w:tcW w:w="1560" w:type="dxa"/>
            <w:shd w:val="clear" w:color="auto" w:fill="D6E4F0"/>
            <w:tcMar>
              <w:top w:w="80" w:type="dxa"/>
              <w:left w:w="120" w:type="dxa"/>
              <w:bottom w:w="80" w:type="dxa"/>
              <w:right w:w="120" w:type="dxa"/>
            </w:tcMar>
            <w:vAlign w:val="center"/>
          </w:tcPr>
          <w:p w14:paraId="76613FEB" w14:textId="77777777" w:rsidR="00101345" w:rsidRDefault="00000000">
            <w:pPr>
              <w:spacing w:before="60" w:after="60"/>
              <w:jc w:val="center"/>
            </w:pPr>
            <w:r>
              <w:rPr>
                <w:sz w:val="20"/>
                <w:szCs w:val="20"/>
              </w:rPr>
              <w:t>2007</w:t>
            </w:r>
          </w:p>
        </w:tc>
        <w:tc>
          <w:tcPr>
            <w:tcW w:w="2200" w:type="dxa"/>
            <w:shd w:val="clear" w:color="auto" w:fill="D6E4F0"/>
            <w:tcMar>
              <w:top w:w="80" w:type="dxa"/>
              <w:left w:w="120" w:type="dxa"/>
              <w:bottom w:w="80" w:type="dxa"/>
              <w:right w:w="120" w:type="dxa"/>
            </w:tcMar>
            <w:vAlign w:val="center"/>
          </w:tcPr>
          <w:p w14:paraId="0BDE024D" w14:textId="77777777" w:rsidR="00101345" w:rsidRDefault="00000000">
            <w:pPr>
              <w:spacing w:before="60" w:after="60"/>
              <w:jc w:val="center"/>
            </w:pPr>
            <w:r>
              <w:rPr>
                <w:sz w:val="20"/>
                <w:szCs w:val="20"/>
              </w:rPr>
              <w:t>0.970</w:t>
            </w:r>
          </w:p>
        </w:tc>
        <w:tc>
          <w:tcPr>
            <w:tcW w:w="2000" w:type="dxa"/>
            <w:shd w:val="clear" w:color="auto" w:fill="D6E4F0"/>
            <w:tcMar>
              <w:top w:w="80" w:type="dxa"/>
              <w:left w:w="120" w:type="dxa"/>
              <w:bottom w:w="80" w:type="dxa"/>
              <w:right w:w="120" w:type="dxa"/>
            </w:tcMar>
            <w:vAlign w:val="center"/>
          </w:tcPr>
          <w:p w14:paraId="5F0AF50D" w14:textId="77777777" w:rsidR="00101345" w:rsidRDefault="00000000">
            <w:pPr>
              <w:spacing w:before="60" w:after="60"/>
              <w:jc w:val="center"/>
            </w:pPr>
            <w:r>
              <w:rPr>
                <w:sz w:val="20"/>
                <w:szCs w:val="20"/>
              </w:rPr>
              <w:t>1.743</w:t>
            </w:r>
          </w:p>
        </w:tc>
        <w:tc>
          <w:tcPr>
            <w:tcW w:w="1800" w:type="dxa"/>
            <w:shd w:val="clear" w:color="auto" w:fill="D6E4F0"/>
            <w:tcMar>
              <w:top w:w="80" w:type="dxa"/>
              <w:left w:w="120" w:type="dxa"/>
              <w:bottom w:w="80" w:type="dxa"/>
              <w:right w:w="120" w:type="dxa"/>
            </w:tcMar>
            <w:vAlign w:val="center"/>
          </w:tcPr>
          <w:p w14:paraId="4267CC96" w14:textId="77777777" w:rsidR="00101345" w:rsidRDefault="00000000">
            <w:pPr>
              <w:spacing w:before="60" w:after="60"/>
              <w:jc w:val="center"/>
            </w:pPr>
            <w:r>
              <w:rPr>
                <w:sz w:val="20"/>
                <w:szCs w:val="20"/>
              </w:rPr>
              <w:t>0.557</w:t>
            </w:r>
          </w:p>
        </w:tc>
        <w:tc>
          <w:tcPr>
            <w:tcW w:w="1800" w:type="dxa"/>
            <w:shd w:val="clear" w:color="auto" w:fill="D6E4F0"/>
            <w:tcMar>
              <w:top w:w="80" w:type="dxa"/>
              <w:left w:w="120" w:type="dxa"/>
              <w:bottom w:w="80" w:type="dxa"/>
              <w:right w:w="120" w:type="dxa"/>
            </w:tcMar>
            <w:vAlign w:val="center"/>
          </w:tcPr>
          <w:p w14:paraId="232080AB" w14:textId="77777777" w:rsidR="00101345" w:rsidRDefault="00000000">
            <w:pPr>
              <w:spacing w:before="60" w:after="60"/>
              <w:jc w:val="center"/>
            </w:pPr>
            <w:r>
              <w:rPr>
                <w:sz w:val="20"/>
                <w:szCs w:val="20"/>
              </w:rPr>
              <w:t>0.580</w:t>
            </w:r>
          </w:p>
        </w:tc>
      </w:tr>
      <w:tr w:rsidR="00101345" w14:paraId="711CE09D" w14:textId="77777777">
        <w:tblPrEx>
          <w:tblCellMar>
            <w:top w:w="0" w:type="dxa"/>
            <w:bottom w:w="0" w:type="dxa"/>
          </w:tblCellMar>
        </w:tblPrEx>
        <w:tc>
          <w:tcPr>
            <w:tcW w:w="1560" w:type="dxa"/>
            <w:shd w:val="clear" w:color="auto" w:fill="F2F2F2"/>
            <w:tcMar>
              <w:top w:w="80" w:type="dxa"/>
              <w:left w:w="120" w:type="dxa"/>
              <w:bottom w:w="80" w:type="dxa"/>
              <w:right w:w="120" w:type="dxa"/>
            </w:tcMar>
            <w:vAlign w:val="center"/>
          </w:tcPr>
          <w:p w14:paraId="3D9CACC7" w14:textId="77777777" w:rsidR="00101345" w:rsidRDefault="00000000">
            <w:pPr>
              <w:spacing w:before="60" w:after="60"/>
              <w:jc w:val="center"/>
            </w:pPr>
            <w:r>
              <w:rPr>
                <w:sz w:val="20"/>
                <w:szCs w:val="20"/>
              </w:rPr>
              <w:t>2008</w:t>
            </w:r>
          </w:p>
        </w:tc>
        <w:tc>
          <w:tcPr>
            <w:tcW w:w="2200" w:type="dxa"/>
            <w:shd w:val="clear" w:color="auto" w:fill="F2F2F2"/>
            <w:tcMar>
              <w:top w:w="80" w:type="dxa"/>
              <w:left w:w="120" w:type="dxa"/>
              <w:bottom w:w="80" w:type="dxa"/>
              <w:right w:w="120" w:type="dxa"/>
            </w:tcMar>
            <w:vAlign w:val="center"/>
          </w:tcPr>
          <w:p w14:paraId="3E9D2177" w14:textId="77777777" w:rsidR="00101345" w:rsidRDefault="00000000">
            <w:pPr>
              <w:spacing w:before="60" w:after="60"/>
              <w:jc w:val="center"/>
            </w:pPr>
            <w:r>
              <w:rPr>
                <w:sz w:val="20"/>
                <w:szCs w:val="20"/>
              </w:rPr>
              <w:t>0.810</w:t>
            </w:r>
          </w:p>
        </w:tc>
        <w:tc>
          <w:tcPr>
            <w:tcW w:w="2000" w:type="dxa"/>
            <w:shd w:val="clear" w:color="auto" w:fill="F2F2F2"/>
            <w:tcMar>
              <w:top w:w="80" w:type="dxa"/>
              <w:left w:w="120" w:type="dxa"/>
              <w:bottom w:w="80" w:type="dxa"/>
              <w:right w:w="120" w:type="dxa"/>
            </w:tcMar>
            <w:vAlign w:val="center"/>
          </w:tcPr>
          <w:p w14:paraId="2D199D89" w14:textId="77777777" w:rsidR="00101345" w:rsidRDefault="00000000">
            <w:pPr>
              <w:spacing w:before="60" w:after="60"/>
              <w:jc w:val="center"/>
            </w:pPr>
            <w:r>
              <w:rPr>
                <w:sz w:val="20"/>
                <w:szCs w:val="20"/>
              </w:rPr>
              <w:t>1.702</w:t>
            </w:r>
          </w:p>
        </w:tc>
        <w:tc>
          <w:tcPr>
            <w:tcW w:w="1800" w:type="dxa"/>
            <w:shd w:val="clear" w:color="auto" w:fill="F2F2F2"/>
            <w:tcMar>
              <w:top w:w="80" w:type="dxa"/>
              <w:left w:w="120" w:type="dxa"/>
              <w:bottom w:w="80" w:type="dxa"/>
              <w:right w:w="120" w:type="dxa"/>
            </w:tcMar>
            <w:vAlign w:val="center"/>
          </w:tcPr>
          <w:p w14:paraId="4ABD594D" w14:textId="77777777" w:rsidR="00101345" w:rsidRDefault="00000000">
            <w:pPr>
              <w:spacing w:before="60" w:after="60"/>
              <w:jc w:val="center"/>
            </w:pPr>
            <w:r>
              <w:rPr>
                <w:sz w:val="20"/>
                <w:szCs w:val="20"/>
              </w:rPr>
              <w:t>0.476</w:t>
            </w:r>
          </w:p>
        </w:tc>
        <w:tc>
          <w:tcPr>
            <w:tcW w:w="1800" w:type="dxa"/>
            <w:shd w:val="clear" w:color="auto" w:fill="F2F2F2"/>
            <w:tcMar>
              <w:top w:w="80" w:type="dxa"/>
              <w:left w:w="120" w:type="dxa"/>
              <w:bottom w:w="80" w:type="dxa"/>
              <w:right w:w="120" w:type="dxa"/>
            </w:tcMar>
            <w:vAlign w:val="center"/>
          </w:tcPr>
          <w:p w14:paraId="5D17B237" w14:textId="77777777" w:rsidR="00101345" w:rsidRDefault="00000000">
            <w:pPr>
              <w:spacing w:before="60" w:after="60"/>
              <w:jc w:val="center"/>
            </w:pPr>
            <w:r>
              <w:rPr>
                <w:sz w:val="20"/>
                <w:szCs w:val="20"/>
              </w:rPr>
              <w:t>0.636</w:t>
            </w:r>
          </w:p>
        </w:tc>
      </w:tr>
      <w:tr w:rsidR="00101345" w14:paraId="43743CE2" w14:textId="77777777">
        <w:tblPrEx>
          <w:tblCellMar>
            <w:top w:w="0" w:type="dxa"/>
            <w:bottom w:w="0" w:type="dxa"/>
          </w:tblCellMar>
        </w:tblPrEx>
        <w:tc>
          <w:tcPr>
            <w:tcW w:w="1560" w:type="dxa"/>
            <w:shd w:val="clear" w:color="auto" w:fill="D6E4F0"/>
            <w:tcMar>
              <w:top w:w="80" w:type="dxa"/>
              <w:left w:w="120" w:type="dxa"/>
              <w:bottom w:w="80" w:type="dxa"/>
              <w:right w:w="120" w:type="dxa"/>
            </w:tcMar>
            <w:vAlign w:val="center"/>
          </w:tcPr>
          <w:p w14:paraId="7BE1D1CE" w14:textId="77777777" w:rsidR="00101345" w:rsidRDefault="00000000">
            <w:pPr>
              <w:spacing w:before="60" w:after="60"/>
              <w:jc w:val="center"/>
            </w:pPr>
            <w:r>
              <w:rPr>
                <w:sz w:val="20"/>
                <w:szCs w:val="20"/>
              </w:rPr>
              <w:t>2009</w:t>
            </w:r>
          </w:p>
        </w:tc>
        <w:tc>
          <w:tcPr>
            <w:tcW w:w="2200" w:type="dxa"/>
            <w:shd w:val="clear" w:color="auto" w:fill="D6E4F0"/>
            <w:tcMar>
              <w:top w:w="80" w:type="dxa"/>
              <w:left w:w="120" w:type="dxa"/>
              <w:bottom w:w="80" w:type="dxa"/>
              <w:right w:w="120" w:type="dxa"/>
            </w:tcMar>
            <w:vAlign w:val="center"/>
          </w:tcPr>
          <w:p w14:paraId="213AC5E5" w14:textId="77777777" w:rsidR="00101345" w:rsidRDefault="00000000">
            <w:pPr>
              <w:spacing w:before="60" w:after="60"/>
              <w:jc w:val="center"/>
            </w:pPr>
            <w:r>
              <w:rPr>
                <w:sz w:val="20"/>
                <w:szCs w:val="20"/>
              </w:rPr>
              <w:t>-0.219</w:t>
            </w:r>
          </w:p>
        </w:tc>
        <w:tc>
          <w:tcPr>
            <w:tcW w:w="2000" w:type="dxa"/>
            <w:shd w:val="clear" w:color="auto" w:fill="D6E4F0"/>
            <w:tcMar>
              <w:top w:w="80" w:type="dxa"/>
              <w:left w:w="120" w:type="dxa"/>
              <w:bottom w:w="80" w:type="dxa"/>
              <w:right w:w="120" w:type="dxa"/>
            </w:tcMar>
            <w:vAlign w:val="center"/>
          </w:tcPr>
          <w:p w14:paraId="66C6B7FB" w14:textId="77777777" w:rsidR="00101345" w:rsidRDefault="00000000">
            <w:pPr>
              <w:spacing w:before="60" w:after="60"/>
              <w:jc w:val="center"/>
            </w:pPr>
            <w:r>
              <w:rPr>
                <w:sz w:val="20"/>
                <w:szCs w:val="20"/>
              </w:rPr>
              <w:t>1.699</w:t>
            </w:r>
          </w:p>
        </w:tc>
        <w:tc>
          <w:tcPr>
            <w:tcW w:w="1800" w:type="dxa"/>
            <w:shd w:val="clear" w:color="auto" w:fill="D6E4F0"/>
            <w:tcMar>
              <w:top w:w="80" w:type="dxa"/>
              <w:left w:w="120" w:type="dxa"/>
              <w:bottom w:w="80" w:type="dxa"/>
              <w:right w:w="120" w:type="dxa"/>
            </w:tcMar>
            <w:vAlign w:val="center"/>
          </w:tcPr>
          <w:p w14:paraId="708D178F" w14:textId="77777777" w:rsidR="00101345" w:rsidRDefault="00000000">
            <w:pPr>
              <w:spacing w:before="60" w:after="60"/>
              <w:jc w:val="center"/>
            </w:pPr>
            <w:r>
              <w:rPr>
                <w:sz w:val="20"/>
                <w:szCs w:val="20"/>
              </w:rPr>
              <w:t>-0.129</w:t>
            </w:r>
          </w:p>
        </w:tc>
        <w:tc>
          <w:tcPr>
            <w:tcW w:w="1800" w:type="dxa"/>
            <w:shd w:val="clear" w:color="auto" w:fill="D6E4F0"/>
            <w:tcMar>
              <w:top w:w="80" w:type="dxa"/>
              <w:left w:w="120" w:type="dxa"/>
              <w:bottom w:w="80" w:type="dxa"/>
              <w:right w:w="120" w:type="dxa"/>
            </w:tcMar>
            <w:vAlign w:val="center"/>
          </w:tcPr>
          <w:p w14:paraId="6FCDC10F" w14:textId="77777777" w:rsidR="00101345" w:rsidRDefault="00000000">
            <w:pPr>
              <w:spacing w:before="60" w:after="60"/>
              <w:jc w:val="center"/>
            </w:pPr>
            <w:r>
              <w:rPr>
                <w:sz w:val="20"/>
                <w:szCs w:val="20"/>
              </w:rPr>
              <w:t>0.898</w:t>
            </w:r>
          </w:p>
        </w:tc>
      </w:tr>
      <w:tr w:rsidR="00101345" w14:paraId="60892FDC" w14:textId="77777777">
        <w:tblPrEx>
          <w:tblCellMar>
            <w:top w:w="0" w:type="dxa"/>
            <w:bottom w:w="0" w:type="dxa"/>
          </w:tblCellMar>
        </w:tblPrEx>
        <w:tc>
          <w:tcPr>
            <w:tcW w:w="1560" w:type="dxa"/>
            <w:shd w:val="clear" w:color="auto" w:fill="F2F2F2"/>
            <w:tcMar>
              <w:top w:w="80" w:type="dxa"/>
              <w:left w:w="120" w:type="dxa"/>
              <w:bottom w:w="80" w:type="dxa"/>
              <w:right w:w="120" w:type="dxa"/>
            </w:tcMar>
            <w:vAlign w:val="center"/>
          </w:tcPr>
          <w:p w14:paraId="5D507B3F" w14:textId="77777777" w:rsidR="00101345" w:rsidRDefault="00000000">
            <w:pPr>
              <w:spacing w:before="60" w:after="60"/>
              <w:jc w:val="center"/>
            </w:pPr>
            <w:r>
              <w:rPr>
                <w:sz w:val="20"/>
                <w:szCs w:val="20"/>
              </w:rPr>
              <w:t>2010</w:t>
            </w:r>
          </w:p>
        </w:tc>
        <w:tc>
          <w:tcPr>
            <w:tcW w:w="2200" w:type="dxa"/>
            <w:shd w:val="clear" w:color="auto" w:fill="F2F2F2"/>
            <w:tcMar>
              <w:top w:w="80" w:type="dxa"/>
              <w:left w:w="120" w:type="dxa"/>
              <w:bottom w:w="80" w:type="dxa"/>
              <w:right w:w="120" w:type="dxa"/>
            </w:tcMar>
            <w:vAlign w:val="center"/>
          </w:tcPr>
          <w:p w14:paraId="73951539" w14:textId="77777777" w:rsidR="00101345" w:rsidRDefault="00000000">
            <w:pPr>
              <w:spacing w:before="60" w:after="60"/>
              <w:jc w:val="center"/>
            </w:pPr>
            <w:r>
              <w:rPr>
                <w:sz w:val="20"/>
                <w:szCs w:val="20"/>
              </w:rPr>
              <w:t>-0.851</w:t>
            </w:r>
          </w:p>
        </w:tc>
        <w:tc>
          <w:tcPr>
            <w:tcW w:w="2000" w:type="dxa"/>
            <w:shd w:val="clear" w:color="auto" w:fill="F2F2F2"/>
            <w:tcMar>
              <w:top w:w="80" w:type="dxa"/>
              <w:left w:w="120" w:type="dxa"/>
              <w:bottom w:w="80" w:type="dxa"/>
              <w:right w:w="120" w:type="dxa"/>
            </w:tcMar>
            <w:vAlign w:val="center"/>
          </w:tcPr>
          <w:p w14:paraId="395C16C8" w14:textId="77777777" w:rsidR="00101345" w:rsidRDefault="00000000">
            <w:pPr>
              <w:spacing w:before="60" w:after="60"/>
              <w:jc w:val="center"/>
            </w:pPr>
            <w:r>
              <w:rPr>
                <w:sz w:val="20"/>
                <w:szCs w:val="20"/>
              </w:rPr>
              <w:t>1.640</w:t>
            </w:r>
          </w:p>
        </w:tc>
        <w:tc>
          <w:tcPr>
            <w:tcW w:w="1800" w:type="dxa"/>
            <w:shd w:val="clear" w:color="auto" w:fill="F2F2F2"/>
            <w:tcMar>
              <w:top w:w="80" w:type="dxa"/>
              <w:left w:w="120" w:type="dxa"/>
              <w:bottom w:w="80" w:type="dxa"/>
              <w:right w:w="120" w:type="dxa"/>
            </w:tcMar>
            <w:vAlign w:val="center"/>
          </w:tcPr>
          <w:p w14:paraId="1CE2BFDD" w14:textId="77777777" w:rsidR="00101345" w:rsidRDefault="00000000">
            <w:pPr>
              <w:spacing w:before="60" w:after="60"/>
              <w:jc w:val="center"/>
            </w:pPr>
            <w:r>
              <w:rPr>
                <w:sz w:val="20"/>
                <w:szCs w:val="20"/>
              </w:rPr>
              <w:t>-0.519</w:t>
            </w:r>
          </w:p>
        </w:tc>
        <w:tc>
          <w:tcPr>
            <w:tcW w:w="1800" w:type="dxa"/>
            <w:shd w:val="clear" w:color="auto" w:fill="F2F2F2"/>
            <w:tcMar>
              <w:top w:w="80" w:type="dxa"/>
              <w:left w:w="120" w:type="dxa"/>
              <w:bottom w:w="80" w:type="dxa"/>
              <w:right w:w="120" w:type="dxa"/>
            </w:tcMar>
            <w:vAlign w:val="center"/>
          </w:tcPr>
          <w:p w14:paraId="41E74685" w14:textId="77777777" w:rsidR="00101345" w:rsidRDefault="00000000">
            <w:pPr>
              <w:spacing w:before="60" w:after="60"/>
              <w:jc w:val="center"/>
            </w:pPr>
            <w:r>
              <w:rPr>
                <w:sz w:val="20"/>
                <w:szCs w:val="20"/>
              </w:rPr>
              <w:t>0.605</w:t>
            </w:r>
          </w:p>
        </w:tc>
      </w:tr>
      <w:tr w:rsidR="00101345" w14:paraId="3532C52E" w14:textId="77777777">
        <w:tblPrEx>
          <w:tblCellMar>
            <w:top w:w="0" w:type="dxa"/>
            <w:bottom w:w="0" w:type="dxa"/>
          </w:tblCellMar>
        </w:tblPrEx>
        <w:tc>
          <w:tcPr>
            <w:tcW w:w="1560" w:type="dxa"/>
            <w:shd w:val="clear" w:color="auto" w:fill="D6E4F0"/>
            <w:tcMar>
              <w:top w:w="80" w:type="dxa"/>
              <w:left w:w="120" w:type="dxa"/>
              <w:bottom w:w="80" w:type="dxa"/>
              <w:right w:w="120" w:type="dxa"/>
            </w:tcMar>
            <w:vAlign w:val="center"/>
          </w:tcPr>
          <w:p w14:paraId="09FDF912" w14:textId="77777777" w:rsidR="00101345" w:rsidRDefault="00000000">
            <w:pPr>
              <w:spacing w:before="60" w:after="60"/>
              <w:jc w:val="center"/>
            </w:pPr>
            <w:r>
              <w:rPr>
                <w:sz w:val="20"/>
                <w:szCs w:val="20"/>
              </w:rPr>
              <w:t>2011</w:t>
            </w:r>
          </w:p>
        </w:tc>
        <w:tc>
          <w:tcPr>
            <w:tcW w:w="2200" w:type="dxa"/>
            <w:shd w:val="clear" w:color="auto" w:fill="D6E4F0"/>
            <w:tcMar>
              <w:top w:w="80" w:type="dxa"/>
              <w:left w:w="120" w:type="dxa"/>
              <w:bottom w:w="80" w:type="dxa"/>
              <w:right w:w="120" w:type="dxa"/>
            </w:tcMar>
            <w:vAlign w:val="center"/>
          </w:tcPr>
          <w:p w14:paraId="6F48DB76" w14:textId="77777777" w:rsidR="00101345" w:rsidRDefault="00000000">
            <w:pPr>
              <w:spacing w:before="60" w:after="60"/>
              <w:jc w:val="center"/>
            </w:pPr>
            <w:r>
              <w:rPr>
                <w:sz w:val="20"/>
                <w:szCs w:val="20"/>
              </w:rPr>
              <w:t>-0.448</w:t>
            </w:r>
          </w:p>
        </w:tc>
        <w:tc>
          <w:tcPr>
            <w:tcW w:w="2000" w:type="dxa"/>
            <w:shd w:val="clear" w:color="auto" w:fill="D6E4F0"/>
            <w:tcMar>
              <w:top w:w="80" w:type="dxa"/>
              <w:left w:w="120" w:type="dxa"/>
              <w:bottom w:w="80" w:type="dxa"/>
              <w:right w:w="120" w:type="dxa"/>
            </w:tcMar>
            <w:vAlign w:val="center"/>
          </w:tcPr>
          <w:p w14:paraId="59183959" w14:textId="77777777" w:rsidR="00101345" w:rsidRDefault="00000000">
            <w:pPr>
              <w:spacing w:before="60" w:after="60"/>
              <w:jc w:val="center"/>
            </w:pPr>
            <w:r>
              <w:rPr>
                <w:sz w:val="20"/>
                <w:szCs w:val="20"/>
              </w:rPr>
              <w:t>1.611</w:t>
            </w:r>
          </w:p>
        </w:tc>
        <w:tc>
          <w:tcPr>
            <w:tcW w:w="1800" w:type="dxa"/>
            <w:shd w:val="clear" w:color="auto" w:fill="D6E4F0"/>
            <w:tcMar>
              <w:top w:w="80" w:type="dxa"/>
              <w:left w:w="120" w:type="dxa"/>
              <w:bottom w:w="80" w:type="dxa"/>
              <w:right w:w="120" w:type="dxa"/>
            </w:tcMar>
            <w:vAlign w:val="center"/>
          </w:tcPr>
          <w:p w14:paraId="115CF25D" w14:textId="77777777" w:rsidR="00101345" w:rsidRDefault="00000000">
            <w:pPr>
              <w:spacing w:before="60" w:after="60"/>
              <w:jc w:val="center"/>
            </w:pPr>
            <w:r>
              <w:rPr>
                <w:sz w:val="20"/>
                <w:szCs w:val="20"/>
              </w:rPr>
              <w:t>-0.278</w:t>
            </w:r>
          </w:p>
        </w:tc>
        <w:tc>
          <w:tcPr>
            <w:tcW w:w="1800" w:type="dxa"/>
            <w:shd w:val="clear" w:color="auto" w:fill="D6E4F0"/>
            <w:tcMar>
              <w:top w:w="80" w:type="dxa"/>
              <w:left w:w="120" w:type="dxa"/>
              <w:bottom w:w="80" w:type="dxa"/>
              <w:right w:w="120" w:type="dxa"/>
            </w:tcMar>
            <w:vAlign w:val="center"/>
          </w:tcPr>
          <w:p w14:paraId="35CA83E5" w14:textId="77777777" w:rsidR="00101345" w:rsidRDefault="00000000">
            <w:pPr>
              <w:spacing w:before="60" w:after="60"/>
              <w:jc w:val="center"/>
            </w:pPr>
            <w:r>
              <w:rPr>
                <w:sz w:val="20"/>
                <w:szCs w:val="20"/>
              </w:rPr>
              <w:t>0.782</w:t>
            </w:r>
          </w:p>
        </w:tc>
      </w:tr>
      <w:tr w:rsidR="00101345" w14:paraId="7E4A51B7" w14:textId="77777777">
        <w:tblPrEx>
          <w:tblCellMar>
            <w:top w:w="0" w:type="dxa"/>
            <w:bottom w:w="0" w:type="dxa"/>
          </w:tblCellMar>
        </w:tblPrEx>
        <w:tc>
          <w:tcPr>
            <w:tcW w:w="1560" w:type="dxa"/>
            <w:shd w:val="clear" w:color="auto" w:fill="F2F2F2"/>
            <w:tcMar>
              <w:top w:w="80" w:type="dxa"/>
              <w:left w:w="120" w:type="dxa"/>
              <w:bottom w:w="80" w:type="dxa"/>
              <w:right w:w="120" w:type="dxa"/>
            </w:tcMar>
            <w:vAlign w:val="center"/>
          </w:tcPr>
          <w:p w14:paraId="77C33925" w14:textId="77777777" w:rsidR="00101345" w:rsidRDefault="00000000">
            <w:pPr>
              <w:spacing w:before="60" w:after="60"/>
              <w:jc w:val="center"/>
            </w:pPr>
            <w:r>
              <w:rPr>
                <w:sz w:val="20"/>
                <w:szCs w:val="20"/>
              </w:rPr>
              <w:t>2012</w:t>
            </w:r>
          </w:p>
        </w:tc>
        <w:tc>
          <w:tcPr>
            <w:tcW w:w="2200" w:type="dxa"/>
            <w:shd w:val="clear" w:color="auto" w:fill="F2F2F2"/>
            <w:tcMar>
              <w:top w:w="80" w:type="dxa"/>
              <w:left w:w="120" w:type="dxa"/>
              <w:bottom w:w="80" w:type="dxa"/>
              <w:right w:w="120" w:type="dxa"/>
            </w:tcMar>
            <w:vAlign w:val="center"/>
          </w:tcPr>
          <w:p w14:paraId="17742C91" w14:textId="77777777" w:rsidR="00101345" w:rsidRDefault="00000000">
            <w:pPr>
              <w:spacing w:before="60" w:after="60"/>
              <w:jc w:val="center"/>
            </w:pPr>
            <w:r>
              <w:rPr>
                <w:sz w:val="20"/>
                <w:szCs w:val="20"/>
              </w:rPr>
              <w:t>-0.846</w:t>
            </w:r>
          </w:p>
        </w:tc>
        <w:tc>
          <w:tcPr>
            <w:tcW w:w="2000" w:type="dxa"/>
            <w:shd w:val="clear" w:color="auto" w:fill="F2F2F2"/>
            <w:tcMar>
              <w:top w:w="80" w:type="dxa"/>
              <w:left w:w="120" w:type="dxa"/>
              <w:bottom w:w="80" w:type="dxa"/>
              <w:right w:w="120" w:type="dxa"/>
            </w:tcMar>
            <w:vAlign w:val="center"/>
          </w:tcPr>
          <w:p w14:paraId="5EDE6E59" w14:textId="77777777" w:rsidR="00101345" w:rsidRDefault="00000000">
            <w:pPr>
              <w:spacing w:before="60" w:after="60"/>
              <w:jc w:val="center"/>
            </w:pPr>
            <w:r>
              <w:rPr>
                <w:sz w:val="20"/>
                <w:szCs w:val="20"/>
              </w:rPr>
              <w:t>1.607</w:t>
            </w:r>
          </w:p>
        </w:tc>
        <w:tc>
          <w:tcPr>
            <w:tcW w:w="1800" w:type="dxa"/>
            <w:shd w:val="clear" w:color="auto" w:fill="F2F2F2"/>
            <w:tcMar>
              <w:top w:w="80" w:type="dxa"/>
              <w:left w:w="120" w:type="dxa"/>
              <w:bottom w:w="80" w:type="dxa"/>
              <w:right w:w="120" w:type="dxa"/>
            </w:tcMar>
            <w:vAlign w:val="center"/>
          </w:tcPr>
          <w:p w14:paraId="163C249A" w14:textId="77777777" w:rsidR="00101345" w:rsidRDefault="00000000">
            <w:pPr>
              <w:spacing w:before="60" w:after="60"/>
              <w:jc w:val="center"/>
            </w:pPr>
            <w:r>
              <w:rPr>
                <w:sz w:val="20"/>
                <w:szCs w:val="20"/>
              </w:rPr>
              <w:t>-0.526</w:t>
            </w:r>
          </w:p>
        </w:tc>
        <w:tc>
          <w:tcPr>
            <w:tcW w:w="1800" w:type="dxa"/>
            <w:shd w:val="clear" w:color="auto" w:fill="F2F2F2"/>
            <w:tcMar>
              <w:top w:w="80" w:type="dxa"/>
              <w:left w:w="120" w:type="dxa"/>
              <w:bottom w:w="80" w:type="dxa"/>
              <w:right w:w="120" w:type="dxa"/>
            </w:tcMar>
            <w:vAlign w:val="center"/>
          </w:tcPr>
          <w:p w14:paraId="1C54DA60" w14:textId="77777777" w:rsidR="00101345" w:rsidRDefault="00000000">
            <w:pPr>
              <w:spacing w:before="60" w:after="60"/>
              <w:jc w:val="center"/>
            </w:pPr>
            <w:r>
              <w:rPr>
                <w:sz w:val="20"/>
                <w:szCs w:val="20"/>
              </w:rPr>
              <w:t>0.600</w:t>
            </w:r>
          </w:p>
        </w:tc>
      </w:tr>
      <w:tr w:rsidR="00101345" w14:paraId="26EEB7A5" w14:textId="77777777">
        <w:tblPrEx>
          <w:tblCellMar>
            <w:top w:w="0" w:type="dxa"/>
            <w:bottom w:w="0" w:type="dxa"/>
          </w:tblCellMar>
        </w:tblPrEx>
        <w:tc>
          <w:tcPr>
            <w:tcW w:w="1560" w:type="dxa"/>
            <w:shd w:val="clear" w:color="auto" w:fill="D6E4F0"/>
            <w:tcMar>
              <w:top w:w="80" w:type="dxa"/>
              <w:left w:w="120" w:type="dxa"/>
              <w:bottom w:w="80" w:type="dxa"/>
              <w:right w:w="120" w:type="dxa"/>
            </w:tcMar>
            <w:vAlign w:val="center"/>
          </w:tcPr>
          <w:p w14:paraId="042DC635" w14:textId="77777777" w:rsidR="00101345" w:rsidRDefault="00000000">
            <w:pPr>
              <w:spacing w:before="60" w:after="60"/>
              <w:jc w:val="center"/>
            </w:pPr>
            <w:r>
              <w:rPr>
                <w:sz w:val="20"/>
                <w:szCs w:val="20"/>
              </w:rPr>
              <w:t>2013</w:t>
            </w:r>
          </w:p>
        </w:tc>
        <w:tc>
          <w:tcPr>
            <w:tcW w:w="2200" w:type="dxa"/>
            <w:shd w:val="clear" w:color="auto" w:fill="D6E4F0"/>
            <w:tcMar>
              <w:top w:w="80" w:type="dxa"/>
              <w:left w:w="120" w:type="dxa"/>
              <w:bottom w:w="80" w:type="dxa"/>
              <w:right w:w="120" w:type="dxa"/>
            </w:tcMar>
            <w:vAlign w:val="center"/>
          </w:tcPr>
          <w:p w14:paraId="6B1981F2" w14:textId="77777777" w:rsidR="00101345" w:rsidRDefault="00000000">
            <w:pPr>
              <w:spacing w:before="60" w:after="60"/>
              <w:jc w:val="center"/>
            </w:pPr>
            <w:r>
              <w:rPr>
                <w:sz w:val="20"/>
                <w:szCs w:val="20"/>
              </w:rPr>
              <w:t>-0.681</w:t>
            </w:r>
          </w:p>
        </w:tc>
        <w:tc>
          <w:tcPr>
            <w:tcW w:w="2000" w:type="dxa"/>
            <w:shd w:val="clear" w:color="auto" w:fill="D6E4F0"/>
            <w:tcMar>
              <w:top w:w="80" w:type="dxa"/>
              <w:left w:w="120" w:type="dxa"/>
              <w:bottom w:w="80" w:type="dxa"/>
              <w:right w:w="120" w:type="dxa"/>
            </w:tcMar>
            <w:vAlign w:val="center"/>
          </w:tcPr>
          <w:p w14:paraId="4C9AFE93" w14:textId="77777777" w:rsidR="00101345" w:rsidRDefault="00000000">
            <w:pPr>
              <w:spacing w:before="60" w:after="60"/>
              <w:jc w:val="center"/>
            </w:pPr>
            <w:r>
              <w:rPr>
                <w:sz w:val="20"/>
                <w:szCs w:val="20"/>
              </w:rPr>
              <w:t>1.605</w:t>
            </w:r>
          </w:p>
        </w:tc>
        <w:tc>
          <w:tcPr>
            <w:tcW w:w="1800" w:type="dxa"/>
            <w:shd w:val="clear" w:color="auto" w:fill="D6E4F0"/>
            <w:tcMar>
              <w:top w:w="80" w:type="dxa"/>
              <w:left w:w="120" w:type="dxa"/>
              <w:bottom w:w="80" w:type="dxa"/>
              <w:right w:w="120" w:type="dxa"/>
            </w:tcMar>
            <w:vAlign w:val="center"/>
          </w:tcPr>
          <w:p w14:paraId="71252956" w14:textId="77777777" w:rsidR="00101345" w:rsidRDefault="00000000">
            <w:pPr>
              <w:spacing w:before="60" w:after="60"/>
              <w:jc w:val="center"/>
            </w:pPr>
            <w:r>
              <w:rPr>
                <w:sz w:val="20"/>
                <w:szCs w:val="20"/>
              </w:rPr>
              <w:t>-0.424</w:t>
            </w:r>
          </w:p>
        </w:tc>
        <w:tc>
          <w:tcPr>
            <w:tcW w:w="1800" w:type="dxa"/>
            <w:shd w:val="clear" w:color="auto" w:fill="D6E4F0"/>
            <w:tcMar>
              <w:top w:w="80" w:type="dxa"/>
              <w:left w:w="120" w:type="dxa"/>
              <w:bottom w:w="80" w:type="dxa"/>
              <w:right w:w="120" w:type="dxa"/>
            </w:tcMar>
            <w:vAlign w:val="center"/>
          </w:tcPr>
          <w:p w14:paraId="39AFC393" w14:textId="77777777" w:rsidR="00101345" w:rsidRDefault="00000000">
            <w:pPr>
              <w:spacing w:before="60" w:after="60"/>
              <w:jc w:val="center"/>
            </w:pPr>
            <w:r>
              <w:rPr>
                <w:sz w:val="20"/>
                <w:szCs w:val="20"/>
              </w:rPr>
              <w:t>0.673</w:t>
            </w:r>
          </w:p>
        </w:tc>
      </w:tr>
      <w:tr w:rsidR="00101345" w14:paraId="36656511" w14:textId="77777777">
        <w:tblPrEx>
          <w:tblCellMar>
            <w:top w:w="0" w:type="dxa"/>
            <w:bottom w:w="0" w:type="dxa"/>
          </w:tblCellMar>
        </w:tblPrEx>
        <w:tc>
          <w:tcPr>
            <w:tcW w:w="1560" w:type="dxa"/>
            <w:shd w:val="clear" w:color="auto" w:fill="FFE699"/>
            <w:tcMar>
              <w:top w:w="80" w:type="dxa"/>
              <w:left w:w="120" w:type="dxa"/>
              <w:bottom w:w="80" w:type="dxa"/>
              <w:right w:w="120" w:type="dxa"/>
            </w:tcMar>
            <w:vAlign w:val="center"/>
          </w:tcPr>
          <w:p w14:paraId="2F07F53B" w14:textId="77777777" w:rsidR="00101345" w:rsidRDefault="00000000">
            <w:pPr>
              <w:spacing w:before="60" w:after="60"/>
              <w:jc w:val="center"/>
            </w:pPr>
            <w:r>
              <w:rPr>
                <w:b/>
                <w:bCs/>
                <w:sz w:val="20"/>
                <w:szCs w:val="20"/>
              </w:rPr>
              <w:t>2014 (Base)</w:t>
            </w:r>
          </w:p>
        </w:tc>
        <w:tc>
          <w:tcPr>
            <w:tcW w:w="2200" w:type="dxa"/>
            <w:shd w:val="clear" w:color="auto" w:fill="FFE699"/>
            <w:tcMar>
              <w:top w:w="80" w:type="dxa"/>
              <w:left w:w="120" w:type="dxa"/>
              <w:bottom w:w="80" w:type="dxa"/>
              <w:right w:w="120" w:type="dxa"/>
            </w:tcMar>
            <w:vAlign w:val="center"/>
          </w:tcPr>
          <w:p w14:paraId="5F57AC6D" w14:textId="77777777" w:rsidR="00101345" w:rsidRDefault="00000000">
            <w:pPr>
              <w:spacing w:before="60" w:after="60"/>
              <w:jc w:val="center"/>
            </w:pPr>
            <w:r>
              <w:rPr>
                <w:b/>
                <w:bCs/>
                <w:sz w:val="20"/>
                <w:szCs w:val="20"/>
              </w:rPr>
              <w:t>0.000</w:t>
            </w:r>
          </w:p>
        </w:tc>
        <w:tc>
          <w:tcPr>
            <w:tcW w:w="2000" w:type="dxa"/>
            <w:shd w:val="clear" w:color="auto" w:fill="FFE699"/>
            <w:tcMar>
              <w:top w:w="80" w:type="dxa"/>
              <w:left w:w="120" w:type="dxa"/>
              <w:bottom w:w="80" w:type="dxa"/>
              <w:right w:w="120" w:type="dxa"/>
            </w:tcMar>
            <w:vAlign w:val="center"/>
          </w:tcPr>
          <w:p w14:paraId="417EC330" w14:textId="77777777" w:rsidR="00101345" w:rsidRDefault="00000000">
            <w:pPr>
              <w:spacing w:before="60" w:after="60"/>
              <w:jc w:val="center"/>
            </w:pPr>
            <w:r>
              <w:rPr>
                <w:b/>
                <w:bCs/>
                <w:sz w:val="20"/>
                <w:szCs w:val="20"/>
              </w:rPr>
              <w:t>—</w:t>
            </w:r>
          </w:p>
        </w:tc>
        <w:tc>
          <w:tcPr>
            <w:tcW w:w="1800" w:type="dxa"/>
            <w:shd w:val="clear" w:color="auto" w:fill="FFE699"/>
            <w:tcMar>
              <w:top w:w="80" w:type="dxa"/>
              <w:left w:w="120" w:type="dxa"/>
              <w:bottom w:w="80" w:type="dxa"/>
              <w:right w:w="120" w:type="dxa"/>
            </w:tcMar>
            <w:vAlign w:val="center"/>
          </w:tcPr>
          <w:p w14:paraId="3712F05D" w14:textId="77777777" w:rsidR="00101345" w:rsidRDefault="00000000">
            <w:pPr>
              <w:spacing w:before="60" w:after="60"/>
              <w:jc w:val="center"/>
            </w:pPr>
            <w:r>
              <w:rPr>
                <w:b/>
                <w:bCs/>
                <w:sz w:val="20"/>
                <w:szCs w:val="20"/>
              </w:rPr>
              <w:t>—</w:t>
            </w:r>
          </w:p>
        </w:tc>
        <w:tc>
          <w:tcPr>
            <w:tcW w:w="1800" w:type="dxa"/>
            <w:shd w:val="clear" w:color="auto" w:fill="FFE699"/>
            <w:tcMar>
              <w:top w:w="80" w:type="dxa"/>
              <w:left w:w="120" w:type="dxa"/>
              <w:bottom w:w="80" w:type="dxa"/>
              <w:right w:w="120" w:type="dxa"/>
            </w:tcMar>
            <w:vAlign w:val="center"/>
          </w:tcPr>
          <w:p w14:paraId="6C9BF726" w14:textId="77777777" w:rsidR="00101345" w:rsidRDefault="00000000">
            <w:pPr>
              <w:spacing w:before="60" w:after="60"/>
              <w:jc w:val="center"/>
            </w:pPr>
            <w:r>
              <w:rPr>
                <w:b/>
                <w:bCs/>
                <w:sz w:val="20"/>
                <w:szCs w:val="20"/>
              </w:rPr>
              <w:t>—</w:t>
            </w:r>
          </w:p>
        </w:tc>
      </w:tr>
      <w:tr w:rsidR="00101345" w14:paraId="7025000C" w14:textId="77777777">
        <w:tblPrEx>
          <w:tblCellMar>
            <w:top w:w="0" w:type="dxa"/>
            <w:bottom w:w="0" w:type="dxa"/>
          </w:tblCellMar>
        </w:tblPrEx>
        <w:tc>
          <w:tcPr>
            <w:tcW w:w="1560" w:type="dxa"/>
            <w:shd w:val="clear" w:color="auto" w:fill="F2DCDB"/>
            <w:tcMar>
              <w:top w:w="80" w:type="dxa"/>
              <w:left w:w="120" w:type="dxa"/>
              <w:bottom w:w="80" w:type="dxa"/>
              <w:right w:w="120" w:type="dxa"/>
            </w:tcMar>
            <w:vAlign w:val="center"/>
          </w:tcPr>
          <w:p w14:paraId="6AE3052E" w14:textId="77777777" w:rsidR="00101345" w:rsidRDefault="00000000">
            <w:pPr>
              <w:spacing w:before="60" w:after="60"/>
              <w:jc w:val="center"/>
            </w:pPr>
            <w:r>
              <w:rPr>
                <w:sz w:val="20"/>
                <w:szCs w:val="20"/>
              </w:rPr>
              <w:t>2015</w:t>
            </w:r>
          </w:p>
        </w:tc>
        <w:tc>
          <w:tcPr>
            <w:tcW w:w="2200" w:type="dxa"/>
            <w:shd w:val="clear" w:color="auto" w:fill="F2DCDB"/>
            <w:tcMar>
              <w:top w:w="80" w:type="dxa"/>
              <w:left w:w="120" w:type="dxa"/>
              <w:bottom w:w="80" w:type="dxa"/>
              <w:right w:w="120" w:type="dxa"/>
            </w:tcMar>
            <w:vAlign w:val="center"/>
          </w:tcPr>
          <w:p w14:paraId="224AA4E8" w14:textId="77777777" w:rsidR="00101345" w:rsidRDefault="00000000">
            <w:pPr>
              <w:spacing w:before="60" w:after="60"/>
              <w:jc w:val="center"/>
            </w:pPr>
            <w:r>
              <w:rPr>
                <w:sz w:val="20"/>
                <w:szCs w:val="20"/>
              </w:rPr>
              <w:t>0.165</w:t>
            </w:r>
          </w:p>
        </w:tc>
        <w:tc>
          <w:tcPr>
            <w:tcW w:w="2000" w:type="dxa"/>
            <w:shd w:val="clear" w:color="auto" w:fill="F2DCDB"/>
            <w:tcMar>
              <w:top w:w="80" w:type="dxa"/>
              <w:left w:w="120" w:type="dxa"/>
              <w:bottom w:w="80" w:type="dxa"/>
              <w:right w:w="120" w:type="dxa"/>
            </w:tcMar>
            <w:vAlign w:val="center"/>
          </w:tcPr>
          <w:p w14:paraId="24A5210A" w14:textId="77777777" w:rsidR="00101345" w:rsidRDefault="00000000">
            <w:pPr>
              <w:spacing w:before="60" w:after="60"/>
              <w:jc w:val="center"/>
            </w:pPr>
            <w:r>
              <w:rPr>
                <w:sz w:val="20"/>
                <w:szCs w:val="20"/>
              </w:rPr>
              <w:t>1.606</w:t>
            </w:r>
          </w:p>
        </w:tc>
        <w:tc>
          <w:tcPr>
            <w:tcW w:w="1800" w:type="dxa"/>
            <w:shd w:val="clear" w:color="auto" w:fill="F2DCDB"/>
            <w:tcMar>
              <w:top w:w="80" w:type="dxa"/>
              <w:left w:w="120" w:type="dxa"/>
              <w:bottom w:w="80" w:type="dxa"/>
              <w:right w:w="120" w:type="dxa"/>
            </w:tcMar>
            <w:vAlign w:val="center"/>
          </w:tcPr>
          <w:p w14:paraId="6DF13E6B" w14:textId="77777777" w:rsidR="00101345" w:rsidRDefault="00000000">
            <w:pPr>
              <w:spacing w:before="60" w:after="60"/>
              <w:jc w:val="center"/>
            </w:pPr>
            <w:r>
              <w:rPr>
                <w:sz w:val="20"/>
                <w:szCs w:val="20"/>
              </w:rPr>
              <w:t>0.103</w:t>
            </w:r>
          </w:p>
        </w:tc>
        <w:tc>
          <w:tcPr>
            <w:tcW w:w="1800" w:type="dxa"/>
            <w:shd w:val="clear" w:color="auto" w:fill="F2DCDB"/>
            <w:tcMar>
              <w:top w:w="80" w:type="dxa"/>
              <w:left w:w="120" w:type="dxa"/>
              <w:bottom w:w="80" w:type="dxa"/>
              <w:right w:w="120" w:type="dxa"/>
            </w:tcMar>
            <w:vAlign w:val="center"/>
          </w:tcPr>
          <w:p w14:paraId="5AF47B24" w14:textId="77777777" w:rsidR="00101345" w:rsidRDefault="00000000">
            <w:pPr>
              <w:spacing w:before="60" w:after="60"/>
              <w:jc w:val="center"/>
            </w:pPr>
            <w:r>
              <w:rPr>
                <w:sz w:val="20"/>
                <w:szCs w:val="20"/>
              </w:rPr>
              <w:t>0.919</w:t>
            </w:r>
          </w:p>
        </w:tc>
      </w:tr>
      <w:tr w:rsidR="00101345" w14:paraId="35FEAD5B" w14:textId="77777777">
        <w:tblPrEx>
          <w:tblCellMar>
            <w:top w:w="0" w:type="dxa"/>
            <w:bottom w:w="0" w:type="dxa"/>
          </w:tblCellMar>
        </w:tblPrEx>
        <w:tc>
          <w:tcPr>
            <w:tcW w:w="1560" w:type="dxa"/>
            <w:shd w:val="clear" w:color="auto" w:fill="F2F2F2"/>
            <w:tcMar>
              <w:top w:w="80" w:type="dxa"/>
              <w:left w:w="120" w:type="dxa"/>
              <w:bottom w:w="80" w:type="dxa"/>
              <w:right w:w="120" w:type="dxa"/>
            </w:tcMar>
            <w:vAlign w:val="center"/>
          </w:tcPr>
          <w:p w14:paraId="567FC2BF" w14:textId="77777777" w:rsidR="00101345" w:rsidRDefault="00000000">
            <w:pPr>
              <w:spacing w:before="60" w:after="60"/>
              <w:jc w:val="center"/>
            </w:pPr>
            <w:r>
              <w:rPr>
                <w:sz w:val="20"/>
                <w:szCs w:val="20"/>
              </w:rPr>
              <w:t>2016</w:t>
            </w:r>
          </w:p>
        </w:tc>
        <w:tc>
          <w:tcPr>
            <w:tcW w:w="2200" w:type="dxa"/>
            <w:shd w:val="clear" w:color="auto" w:fill="F2F2F2"/>
            <w:tcMar>
              <w:top w:w="80" w:type="dxa"/>
              <w:left w:w="120" w:type="dxa"/>
              <w:bottom w:w="80" w:type="dxa"/>
              <w:right w:w="120" w:type="dxa"/>
            </w:tcMar>
            <w:vAlign w:val="center"/>
          </w:tcPr>
          <w:p w14:paraId="7E5EF2EC" w14:textId="77777777" w:rsidR="00101345" w:rsidRDefault="00000000">
            <w:pPr>
              <w:spacing w:before="60" w:after="60"/>
              <w:jc w:val="center"/>
            </w:pPr>
            <w:r>
              <w:rPr>
                <w:sz w:val="20"/>
                <w:szCs w:val="20"/>
              </w:rPr>
              <w:t>-0.007</w:t>
            </w:r>
          </w:p>
        </w:tc>
        <w:tc>
          <w:tcPr>
            <w:tcW w:w="2000" w:type="dxa"/>
            <w:shd w:val="clear" w:color="auto" w:fill="F2F2F2"/>
            <w:tcMar>
              <w:top w:w="80" w:type="dxa"/>
              <w:left w:w="120" w:type="dxa"/>
              <w:bottom w:w="80" w:type="dxa"/>
              <w:right w:w="120" w:type="dxa"/>
            </w:tcMar>
            <w:vAlign w:val="center"/>
          </w:tcPr>
          <w:p w14:paraId="1B9A4A43" w14:textId="77777777" w:rsidR="00101345" w:rsidRDefault="00000000">
            <w:pPr>
              <w:spacing w:before="60" w:after="60"/>
              <w:jc w:val="center"/>
            </w:pPr>
            <w:r>
              <w:rPr>
                <w:sz w:val="20"/>
                <w:szCs w:val="20"/>
              </w:rPr>
              <w:t>1.613</w:t>
            </w:r>
          </w:p>
        </w:tc>
        <w:tc>
          <w:tcPr>
            <w:tcW w:w="1800" w:type="dxa"/>
            <w:shd w:val="clear" w:color="auto" w:fill="F2F2F2"/>
            <w:tcMar>
              <w:top w:w="80" w:type="dxa"/>
              <w:left w:w="120" w:type="dxa"/>
              <w:bottom w:w="80" w:type="dxa"/>
              <w:right w:w="120" w:type="dxa"/>
            </w:tcMar>
            <w:vAlign w:val="center"/>
          </w:tcPr>
          <w:p w14:paraId="091FB001" w14:textId="77777777" w:rsidR="00101345" w:rsidRDefault="00000000">
            <w:pPr>
              <w:spacing w:before="60" w:after="60"/>
              <w:jc w:val="center"/>
            </w:pPr>
            <w:r>
              <w:rPr>
                <w:sz w:val="20"/>
                <w:szCs w:val="20"/>
              </w:rPr>
              <w:t>-0.004</w:t>
            </w:r>
          </w:p>
        </w:tc>
        <w:tc>
          <w:tcPr>
            <w:tcW w:w="1800" w:type="dxa"/>
            <w:shd w:val="clear" w:color="auto" w:fill="F2F2F2"/>
            <w:tcMar>
              <w:top w:w="80" w:type="dxa"/>
              <w:left w:w="120" w:type="dxa"/>
              <w:bottom w:w="80" w:type="dxa"/>
              <w:right w:w="120" w:type="dxa"/>
            </w:tcMar>
            <w:vAlign w:val="center"/>
          </w:tcPr>
          <w:p w14:paraId="1FAFCAAA" w14:textId="77777777" w:rsidR="00101345" w:rsidRDefault="00000000">
            <w:pPr>
              <w:spacing w:before="60" w:after="60"/>
              <w:jc w:val="center"/>
            </w:pPr>
            <w:r>
              <w:rPr>
                <w:sz w:val="20"/>
                <w:szCs w:val="20"/>
              </w:rPr>
              <w:t>0.997</w:t>
            </w:r>
          </w:p>
        </w:tc>
      </w:tr>
      <w:tr w:rsidR="00101345" w14:paraId="46D18332" w14:textId="77777777">
        <w:tblPrEx>
          <w:tblCellMar>
            <w:top w:w="0" w:type="dxa"/>
            <w:bottom w:w="0" w:type="dxa"/>
          </w:tblCellMar>
        </w:tblPrEx>
        <w:tc>
          <w:tcPr>
            <w:tcW w:w="1560" w:type="dxa"/>
            <w:shd w:val="clear" w:color="auto" w:fill="F2DCDB"/>
            <w:tcMar>
              <w:top w:w="80" w:type="dxa"/>
              <w:left w:w="120" w:type="dxa"/>
              <w:bottom w:w="80" w:type="dxa"/>
              <w:right w:w="120" w:type="dxa"/>
            </w:tcMar>
            <w:vAlign w:val="center"/>
          </w:tcPr>
          <w:p w14:paraId="064D4E7C" w14:textId="77777777" w:rsidR="00101345" w:rsidRDefault="00000000">
            <w:pPr>
              <w:spacing w:before="60" w:after="60"/>
              <w:jc w:val="center"/>
            </w:pPr>
            <w:r>
              <w:rPr>
                <w:sz w:val="20"/>
                <w:szCs w:val="20"/>
              </w:rPr>
              <w:t>2017</w:t>
            </w:r>
          </w:p>
        </w:tc>
        <w:tc>
          <w:tcPr>
            <w:tcW w:w="2200" w:type="dxa"/>
            <w:shd w:val="clear" w:color="auto" w:fill="F2DCDB"/>
            <w:tcMar>
              <w:top w:w="80" w:type="dxa"/>
              <w:left w:w="120" w:type="dxa"/>
              <w:bottom w:w="80" w:type="dxa"/>
              <w:right w:w="120" w:type="dxa"/>
            </w:tcMar>
            <w:vAlign w:val="center"/>
          </w:tcPr>
          <w:p w14:paraId="5EC89707" w14:textId="77777777" w:rsidR="00101345" w:rsidRDefault="00000000">
            <w:pPr>
              <w:spacing w:before="60" w:after="60"/>
              <w:jc w:val="center"/>
            </w:pPr>
            <w:r>
              <w:rPr>
                <w:sz w:val="20"/>
                <w:szCs w:val="20"/>
              </w:rPr>
              <w:t>-0.583</w:t>
            </w:r>
          </w:p>
        </w:tc>
        <w:tc>
          <w:tcPr>
            <w:tcW w:w="2000" w:type="dxa"/>
            <w:shd w:val="clear" w:color="auto" w:fill="F2DCDB"/>
            <w:tcMar>
              <w:top w:w="80" w:type="dxa"/>
              <w:left w:w="120" w:type="dxa"/>
              <w:bottom w:w="80" w:type="dxa"/>
              <w:right w:w="120" w:type="dxa"/>
            </w:tcMar>
            <w:vAlign w:val="center"/>
          </w:tcPr>
          <w:p w14:paraId="5056D949" w14:textId="77777777" w:rsidR="00101345" w:rsidRDefault="00000000">
            <w:pPr>
              <w:spacing w:before="60" w:after="60"/>
              <w:jc w:val="center"/>
            </w:pPr>
            <w:r>
              <w:rPr>
                <w:sz w:val="20"/>
                <w:szCs w:val="20"/>
              </w:rPr>
              <w:t>1.624</w:t>
            </w:r>
          </w:p>
        </w:tc>
        <w:tc>
          <w:tcPr>
            <w:tcW w:w="1800" w:type="dxa"/>
            <w:shd w:val="clear" w:color="auto" w:fill="F2DCDB"/>
            <w:tcMar>
              <w:top w:w="80" w:type="dxa"/>
              <w:left w:w="120" w:type="dxa"/>
              <w:bottom w:w="80" w:type="dxa"/>
              <w:right w:w="120" w:type="dxa"/>
            </w:tcMar>
            <w:vAlign w:val="center"/>
          </w:tcPr>
          <w:p w14:paraId="2EDA9505" w14:textId="77777777" w:rsidR="00101345" w:rsidRDefault="00000000">
            <w:pPr>
              <w:spacing w:before="60" w:after="60"/>
              <w:jc w:val="center"/>
            </w:pPr>
            <w:r>
              <w:rPr>
                <w:sz w:val="20"/>
                <w:szCs w:val="20"/>
              </w:rPr>
              <w:t>-0.359</w:t>
            </w:r>
          </w:p>
        </w:tc>
        <w:tc>
          <w:tcPr>
            <w:tcW w:w="1800" w:type="dxa"/>
            <w:shd w:val="clear" w:color="auto" w:fill="F2DCDB"/>
            <w:tcMar>
              <w:top w:w="80" w:type="dxa"/>
              <w:left w:w="120" w:type="dxa"/>
              <w:bottom w:w="80" w:type="dxa"/>
              <w:right w:w="120" w:type="dxa"/>
            </w:tcMar>
            <w:vAlign w:val="center"/>
          </w:tcPr>
          <w:p w14:paraId="1293AFF2" w14:textId="77777777" w:rsidR="00101345" w:rsidRDefault="00000000">
            <w:pPr>
              <w:spacing w:before="60" w:after="60"/>
              <w:jc w:val="center"/>
            </w:pPr>
            <w:r>
              <w:rPr>
                <w:sz w:val="20"/>
                <w:szCs w:val="20"/>
              </w:rPr>
              <w:t>0.721</w:t>
            </w:r>
          </w:p>
        </w:tc>
      </w:tr>
      <w:tr w:rsidR="00101345" w14:paraId="367C5726" w14:textId="77777777">
        <w:tblPrEx>
          <w:tblCellMar>
            <w:top w:w="0" w:type="dxa"/>
            <w:bottom w:w="0" w:type="dxa"/>
          </w:tblCellMar>
        </w:tblPrEx>
        <w:tc>
          <w:tcPr>
            <w:tcW w:w="1560" w:type="dxa"/>
            <w:shd w:val="clear" w:color="auto" w:fill="F2F2F2"/>
            <w:tcMar>
              <w:top w:w="80" w:type="dxa"/>
              <w:left w:w="120" w:type="dxa"/>
              <w:bottom w:w="80" w:type="dxa"/>
              <w:right w:w="120" w:type="dxa"/>
            </w:tcMar>
            <w:vAlign w:val="center"/>
          </w:tcPr>
          <w:p w14:paraId="6EA2FC6A" w14:textId="77777777" w:rsidR="00101345" w:rsidRDefault="00000000">
            <w:pPr>
              <w:spacing w:before="60" w:after="60"/>
              <w:jc w:val="center"/>
            </w:pPr>
            <w:r>
              <w:rPr>
                <w:sz w:val="20"/>
                <w:szCs w:val="20"/>
              </w:rPr>
              <w:t>2018</w:t>
            </w:r>
          </w:p>
        </w:tc>
        <w:tc>
          <w:tcPr>
            <w:tcW w:w="2200" w:type="dxa"/>
            <w:shd w:val="clear" w:color="auto" w:fill="F2F2F2"/>
            <w:tcMar>
              <w:top w:w="80" w:type="dxa"/>
              <w:left w:w="120" w:type="dxa"/>
              <w:bottom w:w="80" w:type="dxa"/>
              <w:right w:w="120" w:type="dxa"/>
            </w:tcMar>
            <w:vAlign w:val="center"/>
          </w:tcPr>
          <w:p w14:paraId="7DBA53E2" w14:textId="77777777" w:rsidR="00101345" w:rsidRDefault="00000000">
            <w:pPr>
              <w:spacing w:before="60" w:after="60"/>
              <w:jc w:val="center"/>
            </w:pPr>
            <w:r>
              <w:rPr>
                <w:sz w:val="20"/>
                <w:szCs w:val="20"/>
              </w:rPr>
              <w:t>-1.063</w:t>
            </w:r>
          </w:p>
        </w:tc>
        <w:tc>
          <w:tcPr>
            <w:tcW w:w="2000" w:type="dxa"/>
            <w:shd w:val="clear" w:color="auto" w:fill="F2F2F2"/>
            <w:tcMar>
              <w:top w:w="80" w:type="dxa"/>
              <w:left w:w="120" w:type="dxa"/>
              <w:bottom w:w="80" w:type="dxa"/>
              <w:right w:w="120" w:type="dxa"/>
            </w:tcMar>
            <w:vAlign w:val="center"/>
          </w:tcPr>
          <w:p w14:paraId="7030FC29" w14:textId="77777777" w:rsidR="00101345" w:rsidRDefault="00000000">
            <w:pPr>
              <w:spacing w:before="60" w:after="60"/>
              <w:jc w:val="center"/>
            </w:pPr>
            <w:r>
              <w:rPr>
                <w:sz w:val="20"/>
                <w:szCs w:val="20"/>
              </w:rPr>
              <w:t>1.645</w:t>
            </w:r>
          </w:p>
        </w:tc>
        <w:tc>
          <w:tcPr>
            <w:tcW w:w="1800" w:type="dxa"/>
            <w:shd w:val="clear" w:color="auto" w:fill="F2F2F2"/>
            <w:tcMar>
              <w:top w:w="80" w:type="dxa"/>
              <w:left w:w="120" w:type="dxa"/>
              <w:bottom w:w="80" w:type="dxa"/>
              <w:right w:w="120" w:type="dxa"/>
            </w:tcMar>
            <w:vAlign w:val="center"/>
          </w:tcPr>
          <w:p w14:paraId="2246A2DD" w14:textId="77777777" w:rsidR="00101345" w:rsidRDefault="00000000">
            <w:pPr>
              <w:spacing w:before="60" w:after="60"/>
              <w:jc w:val="center"/>
            </w:pPr>
            <w:r>
              <w:rPr>
                <w:sz w:val="20"/>
                <w:szCs w:val="20"/>
              </w:rPr>
              <w:t>-0.646</w:t>
            </w:r>
          </w:p>
        </w:tc>
        <w:tc>
          <w:tcPr>
            <w:tcW w:w="1800" w:type="dxa"/>
            <w:shd w:val="clear" w:color="auto" w:fill="F2F2F2"/>
            <w:tcMar>
              <w:top w:w="80" w:type="dxa"/>
              <w:left w:w="120" w:type="dxa"/>
              <w:bottom w:w="80" w:type="dxa"/>
              <w:right w:w="120" w:type="dxa"/>
            </w:tcMar>
            <w:vAlign w:val="center"/>
          </w:tcPr>
          <w:p w14:paraId="0AE2B667" w14:textId="77777777" w:rsidR="00101345" w:rsidRDefault="00000000">
            <w:pPr>
              <w:spacing w:before="60" w:after="60"/>
              <w:jc w:val="center"/>
            </w:pPr>
            <w:r>
              <w:rPr>
                <w:sz w:val="20"/>
                <w:szCs w:val="20"/>
              </w:rPr>
              <w:t>0.520</w:t>
            </w:r>
          </w:p>
        </w:tc>
      </w:tr>
      <w:tr w:rsidR="00101345" w14:paraId="70BB5C7B" w14:textId="77777777">
        <w:tblPrEx>
          <w:tblCellMar>
            <w:top w:w="0" w:type="dxa"/>
            <w:bottom w:w="0" w:type="dxa"/>
          </w:tblCellMar>
        </w:tblPrEx>
        <w:tc>
          <w:tcPr>
            <w:tcW w:w="1560" w:type="dxa"/>
            <w:shd w:val="clear" w:color="auto" w:fill="F2DCDB"/>
            <w:tcMar>
              <w:top w:w="80" w:type="dxa"/>
              <w:left w:w="120" w:type="dxa"/>
              <w:bottom w:w="80" w:type="dxa"/>
              <w:right w:w="120" w:type="dxa"/>
            </w:tcMar>
            <w:vAlign w:val="center"/>
          </w:tcPr>
          <w:p w14:paraId="5B281C74" w14:textId="77777777" w:rsidR="00101345" w:rsidRDefault="00000000">
            <w:pPr>
              <w:spacing w:before="60" w:after="60"/>
              <w:jc w:val="center"/>
            </w:pPr>
            <w:r>
              <w:rPr>
                <w:sz w:val="20"/>
                <w:szCs w:val="20"/>
              </w:rPr>
              <w:t>2019</w:t>
            </w:r>
          </w:p>
        </w:tc>
        <w:tc>
          <w:tcPr>
            <w:tcW w:w="2200" w:type="dxa"/>
            <w:shd w:val="clear" w:color="auto" w:fill="F2DCDB"/>
            <w:tcMar>
              <w:top w:w="80" w:type="dxa"/>
              <w:left w:w="120" w:type="dxa"/>
              <w:bottom w:w="80" w:type="dxa"/>
              <w:right w:w="120" w:type="dxa"/>
            </w:tcMar>
            <w:vAlign w:val="center"/>
          </w:tcPr>
          <w:p w14:paraId="2CD86B34" w14:textId="77777777" w:rsidR="00101345" w:rsidRDefault="00000000">
            <w:pPr>
              <w:spacing w:before="60" w:after="60"/>
              <w:jc w:val="center"/>
            </w:pPr>
            <w:r>
              <w:rPr>
                <w:sz w:val="20"/>
                <w:szCs w:val="20"/>
              </w:rPr>
              <w:t>-1.176</w:t>
            </w:r>
          </w:p>
        </w:tc>
        <w:tc>
          <w:tcPr>
            <w:tcW w:w="2000" w:type="dxa"/>
            <w:shd w:val="clear" w:color="auto" w:fill="F2DCDB"/>
            <w:tcMar>
              <w:top w:w="80" w:type="dxa"/>
              <w:left w:w="120" w:type="dxa"/>
              <w:bottom w:w="80" w:type="dxa"/>
              <w:right w:w="120" w:type="dxa"/>
            </w:tcMar>
            <w:vAlign w:val="center"/>
          </w:tcPr>
          <w:p w14:paraId="0595744C" w14:textId="77777777" w:rsidR="00101345" w:rsidRDefault="00000000">
            <w:pPr>
              <w:spacing w:before="60" w:after="60"/>
              <w:jc w:val="center"/>
            </w:pPr>
            <w:r>
              <w:rPr>
                <w:sz w:val="20"/>
                <w:szCs w:val="20"/>
              </w:rPr>
              <w:t>1.661</w:t>
            </w:r>
          </w:p>
        </w:tc>
        <w:tc>
          <w:tcPr>
            <w:tcW w:w="1800" w:type="dxa"/>
            <w:shd w:val="clear" w:color="auto" w:fill="F2DCDB"/>
            <w:tcMar>
              <w:top w:w="80" w:type="dxa"/>
              <w:left w:w="120" w:type="dxa"/>
              <w:bottom w:w="80" w:type="dxa"/>
              <w:right w:w="120" w:type="dxa"/>
            </w:tcMar>
            <w:vAlign w:val="center"/>
          </w:tcPr>
          <w:p w14:paraId="519B493F" w14:textId="77777777" w:rsidR="00101345" w:rsidRDefault="00000000">
            <w:pPr>
              <w:spacing w:before="60" w:after="60"/>
              <w:jc w:val="center"/>
            </w:pPr>
            <w:r>
              <w:rPr>
                <w:sz w:val="20"/>
                <w:szCs w:val="20"/>
              </w:rPr>
              <w:t>-0.708</w:t>
            </w:r>
          </w:p>
        </w:tc>
        <w:tc>
          <w:tcPr>
            <w:tcW w:w="1800" w:type="dxa"/>
            <w:shd w:val="clear" w:color="auto" w:fill="F2DCDB"/>
            <w:tcMar>
              <w:top w:w="80" w:type="dxa"/>
              <w:left w:w="120" w:type="dxa"/>
              <w:bottom w:w="80" w:type="dxa"/>
              <w:right w:w="120" w:type="dxa"/>
            </w:tcMar>
            <w:vAlign w:val="center"/>
          </w:tcPr>
          <w:p w14:paraId="4D55D439" w14:textId="77777777" w:rsidR="00101345" w:rsidRDefault="00000000">
            <w:pPr>
              <w:spacing w:before="60" w:after="60"/>
              <w:jc w:val="center"/>
            </w:pPr>
            <w:r>
              <w:rPr>
                <w:sz w:val="20"/>
                <w:szCs w:val="20"/>
              </w:rPr>
              <w:t>0.481</w:t>
            </w:r>
          </w:p>
        </w:tc>
      </w:tr>
      <w:tr w:rsidR="00101345" w14:paraId="7261FC6B" w14:textId="77777777">
        <w:tblPrEx>
          <w:tblCellMar>
            <w:top w:w="0" w:type="dxa"/>
            <w:bottom w:w="0" w:type="dxa"/>
          </w:tblCellMar>
        </w:tblPrEx>
        <w:tc>
          <w:tcPr>
            <w:tcW w:w="1560" w:type="dxa"/>
            <w:shd w:val="clear" w:color="auto" w:fill="F2F2F2"/>
            <w:tcMar>
              <w:top w:w="80" w:type="dxa"/>
              <w:left w:w="120" w:type="dxa"/>
              <w:bottom w:w="80" w:type="dxa"/>
              <w:right w:w="120" w:type="dxa"/>
            </w:tcMar>
            <w:vAlign w:val="center"/>
          </w:tcPr>
          <w:p w14:paraId="5ED7C95A" w14:textId="77777777" w:rsidR="00101345" w:rsidRDefault="00000000">
            <w:pPr>
              <w:spacing w:before="60" w:after="60"/>
              <w:jc w:val="center"/>
            </w:pPr>
            <w:r>
              <w:rPr>
                <w:sz w:val="20"/>
                <w:szCs w:val="20"/>
              </w:rPr>
              <w:t>2020</w:t>
            </w:r>
          </w:p>
        </w:tc>
        <w:tc>
          <w:tcPr>
            <w:tcW w:w="2200" w:type="dxa"/>
            <w:shd w:val="clear" w:color="auto" w:fill="F2F2F2"/>
            <w:tcMar>
              <w:top w:w="80" w:type="dxa"/>
              <w:left w:w="120" w:type="dxa"/>
              <w:bottom w:w="80" w:type="dxa"/>
              <w:right w:w="120" w:type="dxa"/>
            </w:tcMar>
            <w:vAlign w:val="center"/>
          </w:tcPr>
          <w:p w14:paraId="1754667A" w14:textId="77777777" w:rsidR="00101345" w:rsidRDefault="00000000">
            <w:pPr>
              <w:spacing w:before="60" w:after="60"/>
              <w:jc w:val="center"/>
            </w:pPr>
            <w:r>
              <w:rPr>
                <w:sz w:val="20"/>
                <w:szCs w:val="20"/>
              </w:rPr>
              <w:t>-1.354</w:t>
            </w:r>
          </w:p>
        </w:tc>
        <w:tc>
          <w:tcPr>
            <w:tcW w:w="2000" w:type="dxa"/>
            <w:shd w:val="clear" w:color="auto" w:fill="F2F2F2"/>
            <w:tcMar>
              <w:top w:w="80" w:type="dxa"/>
              <w:left w:w="120" w:type="dxa"/>
              <w:bottom w:w="80" w:type="dxa"/>
              <w:right w:w="120" w:type="dxa"/>
            </w:tcMar>
            <w:vAlign w:val="center"/>
          </w:tcPr>
          <w:p w14:paraId="1BEC1590" w14:textId="77777777" w:rsidR="00101345" w:rsidRDefault="00000000">
            <w:pPr>
              <w:spacing w:before="60" w:after="60"/>
              <w:jc w:val="center"/>
            </w:pPr>
            <w:r>
              <w:rPr>
                <w:sz w:val="20"/>
                <w:szCs w:val="20"/>
              </w:rPr>
              <w:t>1.732</w:t>
            </w:r>
          </w:p>
        </w:tc>
        <w:tc>
          <w:tcPr>
            <w:tcW w:w="1800" w:type="dxa"/>
            <w:shd w:val="clear" w:color="auto" w:fill="F2F2F2"/>
            <w:tcMar>
              <w:top w:w="80" w:type="dxa"/>
              <w:left w:w="120" w:type="dxa"/>
              <w:bottom w:w="80" w:type="dxa"/>
              <w:right w:w="120" w:type="dxa"/>
            </w:tcMar>
            <w:vAlign w:val="center"/>
          </w:tcPr>
          <w:p w14:paraId="4B03F47A" w14:textId="77777777" w:rsidR="00101345" w:rsidRDefault="00000000">
            <w:pPr>
              <w:spacing w:before="60" w:after="60"/>
              <w:jc w:val="center"/>
            </w:pPr>
            <w:r>
              <w:rPr>
                <w:sz w:val="20"/>
                <w:szCs w:val="20"/>
              </w:rPr>
              <w:t>-0.782</w:t>
            </w:r>
          </w:p>
        </w:tc>
        <w:tc>
          <w:tcPr>
            <w:tcW w:w="1800" w:type="dxa"/>
            <w:shd w:val="clear" w:color="auto" w:fill="F2F2F2"/>
            <w:tcMar>
              <w:top w:w="80" w:type="dxa"/>
              <w:left w:w="120" w:type="dxa"/>
              <w:bottom w:w="80" w:type="dxa"/>
              <w:right w:w="120" w:type="dxa"/>
            </w:tcMar>
            <w:vAlign w:val="center"/>
          </w:tcPr>
          <w:p w14:paraId="71C6CAE1" w14:textId="77777777" w:rsidR="00101345" w:rsidRDefault="00000000">
            <w:pPr>
              <w:spacing w:before="60" w:after="60"/>
              <w:jc w:val="center"/>
            </w:pPr>
            <w:r>
              <w:rPr>
                <w:sz w:val="20"/>
                <w:szCs w:val="20"/>
              </w:rPr>
              <w:t>0.437</w:t>
            </w:r>
          </w:p>
        </w:tc>
      </w:tr>
      <w:tr w:rsidR="00101345" w14:paraId="73C7BE32" w14:textId="77777777">
        <w:tblPrEx>
          <w:tblCellMar>
            <w:top w:w="0" w:type="dxa"/>
            <w:bottom w:w="0" w:type="dxa"/>
          </w:tblCellMar>
        </w:tblPrEx>
        <w:tc>
          <w:tcPr>
            <w:tcW w:w="1560" w:type="dxa"/>
            <w:shd w:val="clear" w:color="auto" w:fill="F2DCDB"/>
            <w:tcMar>
              <w:top w:w="80" w:type="dxa"/>
              <w:left w:w="120" w:type="dxa"/>
              <w:bottom w:w="80" w:type="dxa"/>
              <w:right w:w="120" w:type="dxa"/>
            </w:tcMar>
            <w:vAlign w:val="center"/>
          </w:tcPr>
          <w:p w14:paraId="341D7741" w14:textId="77777777" w:rsidR="00101345" w:rsidRDefault="00000000">
            <w:pPr>
              <w:spacing w:before="60" w:after="60"/>
              <w:jc w:val="center"/>
            </w:pPr>
            <w:r>
              <w:rPr>
                <w:sz w:val="20"/>
                <w:szCs w:val="20"/>
              </w:rPr>
              <w:t>2021</w:t>
            </w:r>
          </w:p>
        </w:tc>
        <w:tc>
          <w:tcPr>
            <w:tcW w:w="2200" w:type="dxa"/>
            <w:shd w:val="clear" w:color="auto" w:fill="F2DCDB"/>
            <w:tcMar>
              <w:top w:w="80" w:type="dxa"/>
              <w:left w:w="120" w:type="dxa"/>
              <w:bottom w:w="80" w:type="dxa"/>
              <w:right w:w="120" w:type="dxa"/>
            </w:tcMar>
            <w:vAlign w:val="center"/>
          </w:tcPr>
          <w:p w14:paraId="6974BF1E" w14:textId="77777777" w:rsidR="00101345" w:rsidRDefault="00000000">
            <w:pPr>
              <w:spacing w:before="60" w:after="60"/>
              <w:jc w:val="center"/>
            </w:pPr>
            <w:r>
              <w:rPr>
                <w:sz w:val="20"/>
                <w:szCs w:val="20"/>
              </w:rPr>
              <w:t>-1.073</w:t>
            </w:r>
          </w:p>
        </w:tc>
        <w:tc>
          <w:tcPr>
            <w:tcW w:w="2000" w:type="dxa"/>
            <w:shd w:val="clear" w:color="auto" w:fill="F2DCDB"/>
            <w:tcMar>
              <w:top w:w="80" w:type="dxa"/>
              <w:left w:w="120" w:type="dxa"/>
              <w:bottom w:w="80" w:type="dxa"/>
              <w:right w:w="120" w:type="dxa"/>
            </w:tcMar>
            <w:vAlign w:val="center"/>
          </w:tcPr>
          <w:p w14:paraId="3ED4DF2E" w14:textId="77777777" w:rsidR="00101345" w:rsidRDefault="00000000">
            <w:pPr>
              <w:spacing w:before="60" w:after="60"/>
              <w:jc w:val="center"/>
            </w:pPr>
            <w:r>
              <w:rPr>
                <w:sz w:val="20"/>
                <w:szCs w:val="20"/>
              </w:rPr>
              <w:t>1.722</w:t>
            </w:r>
          </w:p>
        </w:tc>
        <w:tc>
          <w:tcPr>
            <w:tcW w:w="1800" w:type="dxa"/>
            <w:shd w:val="clear" w:color="auto" w:fill="F2DCDB"/>
            <w:tcMar>
              <w:top w:w="80" w:type="dxa"/>
              <w:left w:w="120" w:type="dxa"/>
              <w:bottom w:w="80" w:type="dxa"/>
              <w:right w:w="120" w:type="dxa"/>
            </w:tcMar>
            <w:vAlign w:val="center"/>
          </w:tcPr>
          <w:p w14:paraId="0782B62A" w14:textId="77777777" w:rsidR="00101345" w:rsidRDefault="00000000">
            <w:pPr>
              <w:spacing w:before="60" w:after="60"/>
              <w:jc w:val="center"/>
            </w:pPr>
            <w:r>
              <w:rPr>
                <w:sz w:val="20"/>
                <w:szCs w:val="20"/>
              </w:rPr>
              <w:t>-0.623</w:t>
            </w:r>
          </w:p>
        </w:tc>
        <w:tc>
          <w:tcPr>
            <w:tcW w:w="1800" w:type="dxa"/>
            <w:shd w:val="clear" w:color="auto" w:fill="F2DCDB"/>
            <w:tcMar>
              <w:top w:w="80" w:type="dxa"/>
              <w:left w:w="120" w:type="dxa"/>
              <w:bottom w:w="80" w:type="dxa"/>
              <w:right w:w="120" w:type="dxa"/>
            </w:tcMar>
            <w:vAlign w:val="center"/>
          </w:tcPr>
          <w:p w14:paraId="3C93238D" w14:textId="77777777" w:rsidR="00101345" w:rsidRDefault="00000000">
            <w:pPr>
              <w:spacing w:before="60" w:after="60"/>
              <w:jc w:val="center"/>
            </w:pPr>
            <w:r>
              <w:rPr>
                <w:sz w:val="20"/>
                <w:szCs w:val="20"/>
              </w:rPr>
              <w:t>0.535</w:t>
            </w:r>
          </w:p>
        </w:tc>
      </w:tr>
      <w:tr w:rsidR="00101345" w14:paraId="607204D4" w14:textId="77777777">
        <w:tblPrEx>
          <w:tblCellMar>
            <w:top w:w="0" w:type="dxa"/>
            <w:bottom w:w="0" w:type="dxa"/>
          </w:tblCellMar>
        </w:tblPrEx>
        <w:tc>
          <w:tcPr>
            <w:tcW w:w="1560" w:type="dxa"/>
            <w:shd w:val="clear" w:color="auto" w:fill="F2F2F2"/>
            <w:tcMar>
              <w:top w:w="80" w:type="dxa"/>
              <w:left w:w="120" w:type="dxa"/>
              <w:bottom w:w="80" w:type="dxa"/>
              <w:right w:w="120" w:type="dxa"/>
            </w:tcMar>
            <w:vAlign w:val="center"/>
          </w:tcPr>
          <w:p w14:paraId="50D88C88" w14:textId="77777777" w:rsidR="00101345" w:rsidRDefault="00000000">
            <w:pPr>
              <w:spacing w:before="60" w:after="60"/>
              <w:jc w:val="center"/>
            </w:pPr>
            <w:r>
              <w:rPr>
                <w:sz w:val="20"/>
                <w:szCs w:val="20"/>
              </w:rPr>
              <w:t>2022</w:t>
            </w:r>
          </w:p>
        </w:tc>
        <w:tc>
          <w:tcPr>
            <w:tcW w:w="2200" w:type="dxa"/>
            <w:shd w:val="clear" w:color="auto" w:fill="F2F2F2"/>
            <w:tcMar>
              <w:top w:w="80" w:type="dxa"/>
              <w:left w:w="120" w:type="dxa"/>
              <w:bottom w:w="80" w:type="dxa"/>
              <w:right w:w="120" w:type="dxa"/>
            </w:tcMar>
            <w:vAlign w:val="center"/>
          </w:tcPr>
          <w:p w14:paraId="1E942DBA" w14:textId="77777777" w:rsidR="00101345" w:rsidRDefault="00000000">
            <w:pPr>
              <w:spacing w:before="60" w:after="60"/>
              <w:jc w:val="center"/>
            </w:pPr>
            <w:r>
              <w:rPr>
                <w:sz w:val="20"/>
                <w:szCs w:val="20"/>
              </w:rPr>
              <w:t>-1.030</w:t>
            </w:r>
          </w:p>
        </w:tc>
        <w:tc>
          <w:tcPr>
            <w:tcW w:w="2000" w:type="dxa"/>
            <w:shd w:val="clear" w:color="auto" w:fill="F2F2F2"/>
            <w:tcMar>
              <w:top w:w="80" w:type="dxa"/>
              <w:left w:w="120" w:type="dxa"/>
              <w:bottom w:w="80" w:type="dxa"/>
              <w:right w:w="120" w:type="dxa"/>
            </w:tcMar>
            <w:vAlign w:val="center"/>
          </w:tcPr>
          <w:p w14:paraId="35AAF6C3" w14:textId="77777777" w:rsidR="00101345" w:rsidRDefault="00000000">
            <w:pPr>
              <w:spacing w:before="60" w:after="60"/>
              <w:jc w:val="center"/>
            </w:pPr>
            <w:r>
              <w:rPr>
                <w:sz w:val="20"/>
                <w:szCs w:val="20"/>
              </w:rPr>
              <w:t>1.700</w:t>
            </w:r>
          </w:p>
        </w:tc>
        <w:tc>
          <w:tcPr>
            <w:tcW w:w="1800" w:type="dxa"/>
            <w:shd w:val="clear" w:color="auto" w:fill="F2F2F2"/>
            <w:tcMar>
              <w:top w:w="80" w:type="dxa"/>
              <w:left w:w="120" w:type="dxa"/>
              <w:bottom w:w="80" w:type="dxa"/>
              <w:right w:w="120" w:type="dxa"/>
            </w:tcMar>
            <w:vAlign w:val="center"/>
          </w:tcPr>
          <w:p w14:paraId="7AC96789" w14:textId="77777777" w:rsidR="00101345" w:rsidRDefault="00000000">
            <w:pPr>
              <w:spacing w:before="60" w:after="60"/>
              <w:jc w:val="center"/>
            </w:pPr>
            <w:r>
              <w:rPr>
                <w:sz w:val="20"/>
                <w:szCs w:val="20"/>
              </w:rPr>
              <w:t>-0.606</w:t>
            </w:r>
          </w:p>
        </w:tc>
        <w:tc>
          <w:tcPr>
            <w:tcW w:w="1800" w:type="dxa"/>
            <w:shd w:val="clear" w:color="auto" w:fill="F2F2F2"/>
            <w:tcMar>
              <w:top w:w="80" w:type="dxa"/>
              <w:left w:w="120" w:type="dxa"/>
              <w:bottom w:w="80" w:type="dxa"/>
              <w:right w:w="120" w:type="dxa"/>
            </w:tcMar>
            <w:vAlign w:val="center"/>
          </w:tcPr>
          <w:p w14:paraId="1B95E4AA" w14:textId="77777777" w:rsidR="00101345" w:rsidRDefault="00000000">
            <w:pPr>
              <w:spacing w:before="60" w:after="60"/>
              <w:jc w:val="center"/>
            </w:pPr>
            <w:r>
              <w:rPr>
                <w:sz w:val="20"/>
                <w:szCs w:val="20"/>
              </w:rPr>
              <w:t>0.547</w:t>
            </w:r>
          </w:p>
        </w:tc>
      </w:tr>
    </w:tbl>
    <w:p w14:paraId="11302644" w14:textId="77777777" w:rsidR="00101345" w:rsidRDefault="00000000">
      <w:pPr>
        <w:spacing w:before="60" w:after="160"/>
      </w:pPr>
      <w:r>
        <w:rPr>
          <w:i/>
          <w:iCs/>
          <w:color w:val="BFBFBF"/>
          <w:sz w:val="18"/>
          <w:szCs w:val="18"/>
        </w:rPr>
        <w:t>Note: Blue rows = pre-treatment; Yellow row = base year; Red rows = post-treatment. All coefficients relative to 2014. Two-Way Fixed Effects with country and period dummies.</w:t>
      </w:r>
    </w:p>
    <w:p w14:paraId="5A159837" w14:textId="77777777" w:rsidR="00170FC1" w:rsidRDefault="00170FC1">
      <w:pPr>
        <w:pStyle w:val="Heading2"/>
        <w:spacing w:before="200" w:after="100"/>
        <w:rPr>
          <w:b/>
          <w:bCs/>
          <w:color w:val="1F3864"/>
          <w:sz w:val="24"/>
          <w:szCs w:val="24"/>
          <w:u w:val="single"/>
        </w:rPr>
      </w:pPr>
    </w:p>
    <w:p w14:paraId="6F6C5FA4" w14:textId="15EF0663" w:rsidR="00170FC1" w:rsidRDefault="00170FC1">
      <w:pPr>
        <w:pStyle w:val="Heading2"/>
        <w:spacing w:before="200" w:after="100"/>
        <w:rPr>
          <w:b/>
          <w:bCs/>
          <w:color w:val="1F3864"/>
          <w:sz w:val="24"/>
          <w:szCs w:val="24"/>
          <w:u w:val="single"/>
        </w:rPr>
      </w:pPr>
      <w:r>
        <w:rPr>
          <w:b/>
          <w:bCs/>
          <w:noProof/>
          <w:color w:val="1F3864"/>
          <w:sz w:val="24"/>
          <w:szCs w:val="24"/>
          <w:u w:val="single"/>
        </w:rPr>
        <w:lastRenderedPageBreak/>
        <w:drawing>
          <wp:anchor distT="0" distB="0" distL="114300" distR="114300" simplePos="0" relativeHeight="251658240" behindDoc="0" locked="0" layoutInCell="1" allowOverlap="1" wp14:anchorId="37E23375" wp14:editId="4FD0BCFD">
            <wp:simplePos x="1143000" y="914400"/>
            <wp:positionH relativeFrom="margin">
              <wp:align>center</wp:align>
            </wp:positionH>
            <wp:positionV relativeFrom="margin">
              <wp:align>top</wp:align>
            </wp:positionV>
            <wp:extent cx="5715000" cy="3653790"/>
            <wp:effectExtent l="152400" t="152400" r="361950" b="365760"/>
            <wp:wrapSquare wrapText="bothSides"/>
            <wp:docPr id="646509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09619" name="Picture 646509619"/>
                    <pic:cNvPicPr/>
                  </pic:nvPicPr>
                  <pic:blipFill>
                    <a:blip r:embed="rId7">
                      <a:extLst>
                        <a:ext uri="{28A0092B-C50C-407E-A947-70E740481C1C}">
                          <a14:useLocalDpi xmlns:a14="http://schemas.microsoft.com/office/drawing/2010/main" val="0"/>
                        </a:ext>
                      </a:extLst>
                    </a:blip>
                    <a:stretch>
                      <a:fillRect/>
                    </a:stretch>
                  </pic:blipFill>
                  <pic:spPr>
                    <a:xfrm>
                      <a:off x="0" y="0"/>
                      <a:ext cx="5715000" cy="3653790"/>
                    </a:xfrm>
                    <a:prstGeom prst="rect">
                      <a:avLst/>
                    </a:prstGeom>
                    <a:ln>
                      <a:noFill/>
                    </a:ln>
                    <a:effectLst>
                      <a:outerShdw blurRad="292100" dist="139700" dir="2700000" algn="tl" rotWithShape="0">
                        <a:srgbClr val="333333">
                          <a:alpha val="65000"/>
                        </a:srgbClr>
                      </a:outerShdw>
                    </a:effectLst>
                  </pic:spPr>
                </pic:pic>
              </a:graphicData>
            </a:graphic>
          </wp:anchor>
        </w:drawing>
      </w:r>
    </w:p>
    <w:p w14:paraId="7F38ABBB" w14:textId="7EA6A504" w:rsidR="00101345" w:rsidRDefault="00000000">
      <w:pPr>
        <w:pStyle w:val="Heading2"/>
        <w:spacing w:before="200" w:after="100"/>
      </w:pPr>
      <w:r>
        <w:rPr>
          <w:b/>
          <w:bCs/>
          <w:color w:val="1F3864"/>
          <w:sz w:val="24"/>
          <w:szCs w:val="24"/>
          <w:u w:val="single"/>
        </w:rPr>
        <w:t>6.2 Event Study Interpretation</w:t>
      </w:r>
    </w:p>
    <w:p w14:paraId="3C212B81" w14:textId="77777777" w:rsidR="00101345" w:rsidRDefault="00000000">
      <w:pPr>
        <w:spacing w:after="140" w:line="288" w:lineRule="auto"/>
        <w:jc w:val="both"/>
      </w:pPr>
      <w:r>
        <w:t xml:space="preserve">The event study results are unambiguous across both the pre- and post-treatment periods. In the pre-treatment period (2005–2013), all nine year-specific coefficients are statistically insignificant at conventional levels. The coefficients fluctuate around zero — positive in 2005–2007 and slightly negative in 2010–2013 — but none departs significantly from the 2014 base year. This constitutes formal statistical validation of the parallel </w:t>
      </w:r>
      <w:proofErr w:type="gramStart"/>
      <w:r>
        <w:t>trends</w:t>
      </w:r>
      <w:proofErr w:type="gramEnd"/>
      <w:r>
        <w:t xml:space="preserve"> assumption.</w:t>
      </w:r>
    </w:p>
    <w:p w14:paraId="5F8ED664" w14:textId="77777777" w:rsidR="00101345" w:rsidRDefault="00000000">
      <w:pPr>
        <w:spacing w:after="140" w:line="288" w:lineRule="auto"/>
        <w:jc w:val="both"/>
      </w:pPr>
      <w:r>
        <w:t>In the post-treatment period (2015–2022), 2015 shows a marginally positive but insignificant coefficient (0.165, p = 0.919), suggesting no immediate FDI response to the CPEC announcement. From 2017 onwards, the point estimates trend progressively negative, reaching approximately -1.35 in 2020 before partially recovering in 2021–2022. However, none of these post-treatment coefficients crosses the conventional significance threshold. The confidence intervals remain wide throughout, encompassing zero in every year. The event study therefore reinforces the main DiD finding: no statistically significant CPEC treatment effect can be detected at any point in the post-treatment window.</w:t>
      </w:r>
    </w:p>
    <w:p w14:paraId="05C3B511" w14:textId="77777777" w:rsidR="00101345" w:rsidRDefault="00101345">
      <w:pPr>
        <w:spacing w:after="80"/>
      </w:pPr>
    </w:p>
    <w:p w14:paraId="4005EE85" w14:textId="77777777" w:rsidR="00101345" w:rsidRDefault="00000000">
      <w:r>
        <w:br w:type="page"/>
      </w:r>
    </w:p>
    <w:p w14:paraId="3E9C37A3" w14:textId="77777777" w:rsidR="00101345" w:rsidRDefault="00000000">
      <w:pPr>
        <w:pStyle w:val="Heading1"/>
        <w:shd w:val="clear" w:color="auto" w:fill="1F3864"/>
        <w:spacing w:before="320" w:after="160"/>
        <w:ind w:left="144" w:right="144"/>
      </w:pPr>
      <w:r>
        <w:rPr>
          <w:b/>
          <w:bCs/>
          <w:color w:val="FFFFFF"/>
          <w:sz w:val="28"/>
          <w:szCs w:val="28"/>
        </w:rPr>
        <w:lastRenderedPageBreak/>
        <w:t>7. Robustness Checks</w:t>
      </w:r>
    </w:p>
    <w:p w14:paraId="0A0F4175" w14:textId="77777777" w:rsidR="00101345" w:rsidRDefault="00101345">
      <w:pPr>
        <w:spacing w:after="80"/>
      </w:pPr>
    </w:p>
    <w:p w14:paraId="064EE5CC" w14:textId="77777777" w:rsidR="00101345" w:rsidRDefault="00000000">
      <w:pPr>
        <w:pStyle w:val="Heading2"/>
        <w:spacing w:before="200" w:after="100"/>
      </w:pPr>
      <w:r>
        <w:rPr>
          <w:b/>
          <w:bCs/>
          <w:color w:val="1F3864"/>
          <w:sz w:val="24"/>
          <w:szCs w:val="24"/>
          <w:u w:val="single"/>
        </w:rPr>
        <w:t>7.1 Leave-One-Out Analysis</w:t>
      </w:r>
    </w:p>
    <w:p w14:paraId="1BD270BE" w14:textId="77777777" w:rsidR="00101345" w:rsidRDefault="00000000">
      <w:pPr>
        <w:spacing w:after="140" w:line="288" w:lineRule="auto"/>
        <w:jc w:val="both"/>
      </w:pPr>
      <w:r>
        <w:t>To verify that the null result is not driven by any single control country, a leave-one-out robustness check was conducted. The Two-Way Fixed Effects DiD model was re-estimated five times, each time excluding one control country from the sample. The results are presented in Table 3 below.</w:t>
      </w:r>
    </w:p>
    <w:p w14:paraId="733BF440" w14:textId="77777777" w:rsidR="00101345" w:rsidRDefault="001013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000"/>
        <w:gridCol w:w="2360"/>
      </w:tblGrid>
      <w:tr w:rsidR="00101345" w14:paraId="0AA2410D"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5E16232D" w14:textId="77777777" w:rsidR="00101345" w:rsidRDefault="00000000">
            <w:pPr>
              <w:spacing w:before="60" w:after="60"/>
              <w:jc w:val="center"/>
            </w:pPr>
            <w:r>
              <w:rPr>
                <w:b/>
                <w:bCs/>
                <w:color w:val="FFFFFF"/>
                <w:sz w:val="20"/>
                <w:szCs w:val="20"/>
              </w:rPr>
              <w:t>Specification</w:t>
            </w:r>
          </w:p>
        </w:tc>
        <w:tc>
          <w:tcPr>
            <w:tcW w:w="2400" w:type="dxa"/>
            <w:shd w:val="clear" w:color="auto" w:fill="1F3864"/>
            <w:tcMar>
              <w:top w:w="80" w:type="dxa"/>
              <w:left w:w="120" w:type="dxa"/>
              <w:bottom w:w="80" w:type="dxa"/>
              <w:right w:w="120" w:type="dxa"/>
            </w:tcMar>
            <w:vAlign w:val="center"/>
          </w:tcPr>
          <w:p w14:paraId="12504CCB" w14:textId="77777777" w:rsidR="00101345" w:rsidRDefault="00000000">
            <w:pPr>
              <w:spacing w:before="60" w:after="60"/>
              <w:jc w:val="center"/>
            </w:pPr>
            <w:r>
              <w:rPr>
                <w:b/>
                <w:bCs/>
                <w:color w:val="FFFFFF"/>
                <w:sz w:val="20"/>
                <w:szCs w:val="20"/>
              </w:rPr>
              <w:t>DiD Coefficient</w:t>
            </w:r>
          </w:p>
        </w:tc>
        <w:tc>
          <w:tcPr>
            <w:tcW w:w="2000" w:type="dxa"/>
            <w:shd w:val="clear" w:color="auto" w:fill="1F3864"/>
            <w:tcMar>
              <w:top w:w="80" w:type="dxa"/>
              <w:left w:w="120" w:type="dxa"/>
              <w:bottom w:w="80" w:type="dxa"/>
              <w:right w:w="120" w:type="dxa"/>
            </w:tcMar>
            <w:vAlign w:val="center"/>
          </w:tcPr>
          <w:p w14:paraId="2D9EBA40" w14:textId="77777777" w:rsidR="00101345" w:rsidRDefault="00000000">
            <w:pPr>
              <w:spacing w:before="60" w:after="60"/>
              <w:jc w:val="center"/>
            </w:pPr>
            <w:r>
              <w:rPr>
                <w:b/>
                <w:bCs/>
                <w:color w:val="FFFFFF"/>
                <w:sz w:val="20"/>
                <w:szCs w:val="20"/>
              </w:rPr>
              <w:t>Std. Error</w:t>
            </w:r>
          </w:p>
        </w:tc>
        <w:tc>
          <w:tcPr>
            <w:tcW w:w="2360" w:type="dxa"/>
            <w:shd w:val="clear" w:color="auto" w:fill="1F3864"/>
            <w:tcMar>
              <w:top w:w="80" w:type="dxa"/>
              <w:left w:w="120" w:type="dxa"/>
              <w:bottom w:w="80" w:type="dxa"/>
              <w:right w:w="120" w:type="dxa"/>
            </w:tcMar>
            <w:vAlign w:val="center"/>
          </w:tcPr>
          <w:p w14:paraId="3D5BED10" w14:textId="77777777" w:rsidR="00101345" w:rsidRDefault="00000000">
            <w:pPr>
              <w:spacing w:before="60" w:after="60"/>
              <w:jc w:val="center"/>
            </w:pPr>
            <w:r>
              <w:rPr>
                <w:b/>
                <w:bCs/>
                <w:color w:val="FFFFFF"/>
                <w:sz w:val="20"/>
                <w:szCs w:val="20"/>
              </w:rPr>
              <w:t>p-value</w:t>
            </w:r>
          </w:p>
        </w:tc>
      </w:tr>
      <w:tr w:rsidR="00101345" w14:paraId="01705816" w14:textId="77777777">
        <w:tblPrEx>
          <w:tblCellMar>
            <w:top w:w="0" w:type="dxa"/>
            <w:bottom w:w="0" w:type="dxa"/>
          </w:tblCellMar>
        </w:tblPrEx>
        <w:tc>
          <w:tcPr>
            <w:tcW w:w="2600" w:type="dxa"/>
            <w:shd w:val="clear" w:color="auto" w:fill="D6E4F0"/>
            <w:tcMar>
              <w:top w:w="80" w:type="dxa"/>
              <w:left w:w="120" w:type="dxa"/>
              <w:bottom w:w="80" w:type="dxa"/>
              <w:right w:w="120" w:type="dxa"/>
            </w:tcMar>
            <w:vAlign w:val="center"/>
          </w:tcPr>
          <w:p w14:paraId="0DA65915" w14:textId="77777777" w:rsidR="00101345" w:rsidRDefault="00000000">
            <w:pPr>
              <w:spacing w:before="60" w:after="60"/>
            </w:pPr>
            <w:r>
              <w:rPr>
                <w:b/>
                <w:bCs/>
                <w:sz w:val="20"/>
                <w:szCs w:val="20"/>
              </w:rPr>
              <w:t>Full Sample (6 countries)</w:t>
            </w:r>
          </w:p>
        </w:tc>
        <w:tc>
          <w:tcPr>
            <w:tcW w:w="2400" w:type="dxa"/>
            <w:shd w:val="clear" w:color="auto" w:fill="D6E4F0"/>
            <w:tcMar>
              <w:top w:w="80" w:type="dxa"/>
              <w:left w:w="120" w:type="dxa"/>
              <w:bottom w:w="80" w:type="dxa"/>
              <w:right w:w="120" w:type="dxa"/>
            </w:tcMar>
            <w:vAlign w:val="center"/>
          </w:tcPr>
          <w:p w14:paraId="41B42770" w14:textId="77777777" w:rsidR="00101345" w:rsidRDefault="00000000">
            <w:pPr>
              <w:spacing w:before="60" w:after="60"/>
              <w:jc w:val="center"/>
            </w:pPr>
            <w:r>
              <w:rPr>
                <w:sz w:val="20"/>
                <w:szCs w:val="20"/>
              </w:rPr>
              <w:t>-0.463</w:t>
            </w:r>
          </w:p>
        </w:tc>
        <w:tc>
          <w:tcPr>
            <w:tcW w:w="2000" w:type="dxa"/>
            <w:shd w:val="clear" w:color="auto" w:fill="D6E4F0"/>
            <w:tcMar>
              <w:top w:w="80" w:type="dxa"/>
              <w:left w:w="120" w:type="dxa"/>
              <w:bottom w:w="80" w:type="dxa"/>
              <w:right w:w="120" w:type="dxa"/>
            </w:tcMar>
            <w:vAlign w:val="center"/>
          </w:tcPr>
          <w:p w14:paraId="3759BEFE" w14:textId="77777777" w:rsidR="00101345" w:rsidRDefault="00000000">
            <w:pPr>
              <w:spacing w:before="60" w:after="60"/>
              <w:jc w:val="center"/>
            </w:pPr>
            <w:r>
              <w:rPr>
                <w:sz w:val="20"/>
                <w:szCs w:val="20"/>
              </w:rPr>
              <w:t>0.614</w:t>
            </w:r>
          </w:p>
        </w:tc>
        <w:tc>
          <w:tcPr>
            <w:tcW w:w="2360" w:type="dxa"/>
            <w:shd w:val="clear" w:color="auto" w:fill="D6E4F0"/>
            <w:tcMar>
              <w:top w:w="80" w:type="dxa"/>
              <w:left w:w="120" w:type="dxa"/>
              <w:bottom w:w="80" w:type="dxa"/>
              <w:right w:w="120" w:type="dxa"/>
            </w:tcMar>
            <w:vAlign w:val="center"/>
          </w:tcPr>
          <w:p w14:paraId="0900DECF" w14:textId="77777777" w:rsidR="00101345" w:rsidRDefault="00000000">
            <w:pPr>
              <w:spacing w:before="60" w:after="60"/>
              <w:jc w:val="center"/>
            </w:pPr>
            <w:r>
              <w:rPr>
                <w:sz w:val="20"/>
                <w:szCs w:val="20"/>
              </w:rPr>
              <w:t>0.453</w:t>
            </w:r>
          </w:p>
        </w:tc>
      </w:tr>
      <w:tr w:rsidR="00101345" w14:paraId="036EF0AC"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DEFEFE6" w14:textId="77777777" w:rsidR="00101345" w:rsidRDefault="00000000">
            <w:pPr>
              <w:spacing w:before="60" w:after="60"/>
            </w:pPr>
            <w:r>
              <w:rPr>
                <w:sz w:val="20"/>
                <w:szCs w:val="20"/>
              </w:rPr>
              <w:t>Drop Bangladesh</w:t>
            </w:r>
          </w:p>
        </w:tc>
        <w:tc>
          <w:tcPr>
            <w:tcW w:w="2400" w:type="dxa"/>
            <w:shd w:val="clear" w:color="auto" w:fill="F2F2F2"/>
            <w:tcMar>
              <w:top w:w="80" w:type="dxa"/>
              <w:left w:w="120" w:type="dxa"/>
              <w:bottom w:w="80" w:type="dxa"/>
              <w:right w:w="120" w:type="dxa"/>
            </w:tcMar>
            <w:vAlign w:val="center"/>
          </w:tcPr>
          <w:p w14:paraId="08D33555" w14:textId="77777777" w:rsidR="00101345" w:rsidRDefault="00000000">
            <w:pPr>
              <w:spacing w:before="60" w:after="60"/>
              <w:jc w:val="center"/>
            </w:pPr>
            <w:r>
              <w:rPr>
                <w:sz w:val="20"/>
                <w:szCs w:val="20"/>
              </w:rPr>
              <w:t>-0.461</w:t>
            </w:r>
          </w:p>
        </w:tc>
        <w:tc>
          <w:tcPr>
            <w:tcW w:w="2000" w:type="dxa"/>
            <w:shd w:val="clear" w:color="auto" w:fill="F2F2F2"/>
            <w:tcMar>
              <w:top w:w="80" w:type="dxa"/>
              <w:left w:w="120" w:type="dxa"/>
              <w:bottom w:w="80" w:type="dxa"/>
              <w:right w:w="120" w:type="dxa"/>
            </w:tcMar>
            <w:vAlign w:val="center"/>
          </w:tcPr>
          <w:p w14:paraId="29B1B69A" w14:textId="77777777" w:rsidR="00101345" w:rsidRDefault="00000000">
            <w:pPr>
              <w:spacing w:before="60" w:after="60"/>
              <w:jc w:val="center"/>
            </w:pPr>
            <w:r>
              <w:rPr>
                <w:sz w:val="20"/>
                <w:szCs w:val="20"/>
              </w:rPr>
              <w:t>0.641</w:t>
            </w:r>
          </w:p>
        </w:tc>
        <w:tc>
          <w:tcPr>
            <w:tcW w:w="2360" w:type="dxa"/>
            <w:shd w:val="clear" w:color="auto" w:fill="F2F2F2"/>
            <w:tcMar>
              <w:top w:w="80" w:type="dxa"/>
              <w:left w:w="120" w:type="dxa"/>
              <w:bottom w:w="80" w:type="dxa"/>
              <w:right w:w="120" w:type="dxa"/>
            </w:tcMar>
            <w:vAlign w:val="center"/>
          </w:tcPr>
          <w:p w14:paraId="21B6F8AE" w14:textId="77777777" w:rsidR="00101345" w:rsidRDefault="00000000">
            <w:pPr>
              <w:spacing w:before="60" w:after="60"/>
              <w:jc w:val="center"/>
            </w:pPr>
            <w:r>
              <w:rPr>
                <w:sz w:val="20"/>
                <w:szCs w:val="20"/>
              </w:rPr>
              <w:t>0.474</w:t>
            </w:r>
          </w:p>
        </w:tc>
      </w:tr>
      <w:tr w:rsidR="00101345" w14:paraId="6208177C" w14:textId="77777777">
        <w:tblPrEx>
          <w:tblCellMar>
            <w:top w:w="0" w:type="dxa"/>
            <w:bottom w:w="0" w:type="dxa"/>
          </w:tblCellMar>
        </w:tblPrEx>
        <w:tc>
          <w:tcPr>
            <w:tcW w:w="2600" w:type="dxa"/>
            <w:shd w:val="clear" w:color="auto" w:fill="D6E4F0"/>
            <w:tcMar>
              <w:top w:w="80" w:type="dxa"/>
              <w:left w:w="120" w:type="dxa"/>
              <w:bottom w:w="80" w:type="dxa"/>
              <w:right w:w="120" w:type="dxa"/>
            </w:tcMar>
            <w:vAlign w:val="center"/>
          </w:tcPr>
          <w:p w14:paraId="5213B892" w14:textId="77777777" w:rsidR="00101345" w:rsidRDefault="00000000">
            <w:pPr>
              <w:spacing w:before="60" w:after="60"/>
            </w:pPr>
            <w:r>
              <w:rPr>
                <w:sz w:val="20"/>
                <w:szCs w:val="20"/>
              </w:rPr>
              <w:t>Drop Vietnam</w:t>
            </w:r>
          </w:p>
        </w:tc>
        <w:tc>
          <w:tcPr>
            <w:tcW w:w="2400" w:type="dxa"/>
            <w:shd w:val="clear" w:color="auto" w:fill="D6E4F0"/>
            <w:tcMar>
              <w:top w:w="80" w:type="dxa"/>
              <w:left w:w="120" w:type="dxa"/>
              <w:bottom w:w="80" w:type="dxa"/>
              <w:right w:w="120" w:type="dxa"/>
            </w:tcMar>
            <w:vAlign w:val="center"/>
          </w:tcPr>
          <w:p w14:paraId="599C9AD2" w14:textId="77777777" w:rsidR="00101345" w:rsidRDefault="00000000">
            <w:pPr>
              <w:spacing w:before="60" w:after="60"/>
              <w:jc w:val="center"/>
            </w:pPr>
            <w:r>
              <w:rPr>
                <w:sz w:val="20"/>
                <w:szCs w:val="20"/>
              </w:rPr>
              <w:t>-0.200</w:t>
            </w:r>
          </w:p>
        </w:tc>
        <w:tc>
          <w:tcPr>
            <w:tcW w:w="2000" w:type="dxa"/>
            <w:shd w:val="clear" w:color="auto" w:fill="D6E4F0"/>
            <w:tcMar>
              <w:top w:w="80" w:type="dxa"/>
              <w:left w:w="120" w:type="dxa"/>
              <w:bottom w:w="80" w:type="dxa"/>
              <w:right w:w="120" w:type="dxa"/>
            </w:tcMar>
            <w:vAlign w:val="center"/>
          </w:tcPr>
          <w:p w14:paraId="67EC45B3" w14:textId="77777777" w:rsidR="00101345" w:rsidRDefault="00000000">
            <w:pPr>
              <w:spacing w:before="60" w:after="60"/>
              <w:jc w:val="center"/>
            </w:pPr>
            <w:r>
              <w:rPr>
                <w:sz w:val="20"/>
                <w:szCs w:val="20"/>
              </w:rPr>
              <w:t>0.559</w:t>
            </w:r>
          </w:p>
        </w:tc>
        <w:tc>
          <w:tcPr>
            <w:tcW w:w="2360" w:type="dxa"/>
            <w:shd w:val="clear" w:color="auto" w:fill="D6E4F0"/>
            <w:tcMar>
              <w:top w:w="80" w:type="dxa"/>
              <w:left w:w="120" w:type="dxa"/>
              <w:bottom w:w="80" w:type="dxa"/>
              <w:right w:w="120" w:type="dxa"/>
            </w:tcMar>
            <w:vAlign w:val="center"/>
          </w:tcPr>
          <w:p w14:paraId="6E3AD4F1" w14:textId="77777777" w:rsidR="00101345" w:rsidRDefault="00000000">
            <w:pPr>
              <w:spacing w:before="60" w:after="60"/>
              <w:jc w:val="center"/>
            </w:pPr>
            <w:r>
              <w:rPr>
                <w:sz w:val="20"/>
                <w:szCs w:val="20"/>
              </w:rPr>
              <w:t>0.721</w:t>
            </w:r>
          </w:p>
        </w:tc>
      </w:tr>
      <w:tr w:rsidR="00101345" w14:paraId="34EFA505"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B79ECA6" w14:textId="77777777" w:rsidR="00101345" w:rsidRDefault="00000000">
            <w:pPr>
              <w:spacing w:before="60" w:after="60"/>
            </w:pPr>
            <w:r>
              <w:rPr>
                <w:sz w:val="20"/>
                <w:szCs w:val="20"/>
              </w:rPr>
              <w:t>Drop Indonesia</w:t>
            </w:r>
          </w:p>
        </w:tc>
        <w:tc>
          <w:tcPr>
            <w:tcW w:w="2400" w:type="dxa"/>
            <w:shd w:val="clear" w:color="auto" w:fill="F2F2F2"/>
            <w:tcMar>
              <w:top w:w="80" w:type="dxa"/>
              <w:left w:w="120" w:type="dxa"/>
              <w:bottom w:w="80" w:type="dxa"/>
              <w:right w:w="120" w:type="dxa"/>
            </w:tcMar>
            <w:vAlign w:val="center"/>
          </w:tcPr>
          <w:p w14:paraId="3F789F21" w14:textId="77777777" w:rsidR="00101345" w:rsidRDefault="00000000">
            <w:pPr>
              <w:spacing w:before="60" w:after="60"/>
              <w:jc w:val="center"/>
            </w:pPr>
            <w:r>
              <w:rPr>
                <w:sz w:val="20"/>
                <w:szCs w:val="20"/>
              </w:rPr>
              <w:t>-0.700</w:t>
            </w:r>
          </w:p>
        </w:tc>
        <w:tc>
          <w:tcPr>
            <w:tcW w:w="2000" w:type="dxa"/>
            <w:shd w:val="clear" w:color="auto" w:fill="F2F2F2"/>
            <w:tcMar>
              <w:top w:w="80" w:type="dxa"/>
              <w:left w:w="120" w:type="dxa"/>
              <w:bottom w:w="80" w:type="dxa"/>
              <w:right w:w="120" w:type="dxa"/>
            </w:tcMar>
            <w:vAlign w:val="center"/>
          </w:tcPr>
          <w:p w14:paraId="117D9486" w14:textId="77777777" w:rsidR="00101345" w:rsidRDefault="00000000">
            <w:pPr>
              <w:spacing w:before="60" w:after="60"/>
              <w:jc w:val="center"/>
            </w:pPr>
            <w:r>
              <w:rPr>
                <w:sz w:val="20"/>
                <w:szCs w:val="20"/>
              </w:rPr>
              <w:t>0.663</w:t>
            </w:r>
          </w:p>
        </w:tc>
        <w:tc>
          <w:tcPr>
            <w:tcW w:w="2360" w:type="dxa"/>
            <w:shd w:val="clear" w:color="auto" w:fill="F2F2F2"/>
            <w:tcMar>
              <w:top w:w="80" w:type="dxa"/>
              <w:left w:w="120" w:type="dxa"/>
              <w:bottom w:w="80" w:type="dxa"/>
              <w:right w:w="120" w:type="dxa"/>
            </w:tcMar>
            <w:vAlign w:val="center"/>
          </w:tcPr>
          <w:p w14:paraId="19B7A2DD" w14:textId="77777777" w:rsidR="00101345" w:rsidRDefault="00000000">
            <w:pPr>
              <w:spacing w:before="60" w:after="60"/>
              <w:jc w:val="center"/>
            </w:pPr>
            <w:r>
              <w:rPr>
                <w:sz w:val="20"/>
                <w:szCs w:val="20"/>
              </w:rPr>
              <w:t>0.295</w:t>
            </w:r>
          </w:p>
        </w:tc>
      </w:tr>
      <w:tr w:rsidR="00101345" w14:paraId="2EF7A6F4" w14:textId="77777777">
        <w:tblPrEx>
          <w:tblCellMar>
            <w:top w:w="0" w:type="dxa"/>
            <w:bottom w:w="0" w:type="dxa"/>
          </w:tblCellMar>
        </w:tblPrEx>
        <w:tc>
          <w:tcPr>
            <w:tcW w:w="2600" w:type="dxa"/>
            <w:shd w:val="clear" w:color="auto" w:fill="D6E4F0"/>
            <w:tcMar>
              <w:top w:w="80" w:type="dxa"/>
              <w:left w:w="120" w:type="dxa"/>
              <w:bottom w:w="80" w:type="dxa"/>
              <w:right w:w="120" w:type="dxa"/>
            </w:tcMar>
            <w:vAlign w:val="center"/>
          </w:tcPr>
          <w:p w14:paraId="689A7526" w14:textId="77777777" w:rsidR="00101345" w:rsidRDefault="00000000">
            <w:pPr>
              <w:spacing w:before="60" w:after="60"/>
            </w:pPr>
            <w:r>
              <w:rPr>
                <w:sz w:val="20"/>
                <w:szCs w:val="20"/>
              </w:rPr>
              <w:t>Drop Philippines</w:t>
            </w:r>
          </w:p>
        </w:tc>
        <w:tc>
          <w:tcPr>
            <w:tcW w:w="2400" w:type="dxa"/>
            <w:shd w:val="clear" w:color="auto" w:fill="D6E4F0"/>
            <w:tcMar>
              <w:top w:w="80" w:type="dxa"/>
              <w:left w:w="120" w:type="dxa"/>
              <w:bottom w:w="80" w:type="dxa"/>
              <w:right w:w="120" w:type="dxa"/>
            </w:tcMar>
            <w:vAlign w:val="center"/>
          </w:tcPr>
          <w:p w14:paraId="088D25D3" w14:textId="77777777" w:rsidR="00101345" w:rsidRDefault="00000000">
            <w:pPr>
              <w:spacing w:before="60" w:after="60"/>
              <w:jc w:val="center"/>
            </w:pPr>
            <w:r>
              <w:rPr>
                <w:sz w:val="20"/>
                <w:szCs w:val="20"/>
              </w:rPr>
              <w:t>-0.101</w:t>
            </w:r>
          </w:p>
        </w:tc>
        <w:tc>
          <w:tcPr>
            <w:tcW w:w="2000" w:type="dxa"/>
            <w:shd w:val="clear" w:color="auto" w:fill="D6E4F0"/>
            <w:tcMar>
              <w:top w:w="80" w:type="dxa"/>
              <w:left w:w="120" w:type="dxa"/>
              <w:bottom w:w="80" w:type="dxa"/>
              <w:right w:w="120" w:type="dxa"/>
            </w:tcMar>
            <w:vAlign w:val="center"/>
          </w:tcPr>
          <w:p w14:paraId="29F0BC29" w14:textId="77777777" w:rsidR="00101345" w:rsidRDefault="00000000">
            <w:pPr>
              <w:spacing w:before="60" w:after="60"/>
              <w:jc w:val="center"/>
            </w:pPr>
            <w:r>
              <w:rPr>
                <w:sz w:val="20"/>
                <w:szCs w:val="20"/>
              </w:rPr>
              <w:t>0.686</w:t>
            </w:r>
          </w:p>
        </w:tc>
        <w:tc>
          <w:tcPr>
            <w:tcW w:w="2360" w:type="dxa"/>
            <w:shd w:val="clear" w:color="auto" w:fill="D6E4F0"/>
            <w:tcMar>
              <w:top w:w="80" w:type="dxa"/>
              <w:left w:w="120" w:type="dxa"/>
              <w:bottom w:w="80" w:type="dxa"/>
              <w:right w:w="120" w:type="dxa"/>
            </w:tcMar>
            <w:vAlign w:val="center"/>
          </w:tcPr>
          <w:p w14:paraId="136F46B1" w14:textId="77777777" w:rsidR="00101345" w:rsidRDefault="00000000">
            <w:pPr>
              <w:spacing w:before="60" w:after="60"/>
              <w:jc w:val="center"/>
            </w:pPr>
            <w:r>
              <w:rPr>
                <w:sz w:val="20"/>
                <w:szCs w:val="20"/>
              </w:rPr>
              <w:t>0.883</w:t>
            </w:r>
          </w:p>
        </w:tc>
      </w:tr>
      <w:tr w:rsidR="00101345" w14:paraId="0842600D"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DCCB063" w14:textId="77777777" w:rsidR="00101345" w:rsidRDefault="00000000">
            <w:pPr>
              <w:spacing w:before="60" w:after="60"/>
            </w:pPr>
            <w:r>
              <w:rPr>
                <w:sz w:val="20"/>
                <w:szCs w:val="20"/>
              </w:rPr>
              <w:t>Drop Cambodia</w:t>
            </w:r>
          </w:p>
        </w:tc>
        <w:tc>
          <w:tcPr>
            <w:tcW w:w="2400" w:type="dxa"/>
            <w:shd w:val="clear" w:color="auto" w:fill="F2F2F2"/>
            <w:tcMar>
              <w:top w:w="80" w:type="dxa"/>
              <w:left w:w="120" w:type="dxa"/>
              <w:bottom w:w="80" w:type="dxa"/>
              <w:right w:w="120" w:type="dxa"/>
            </w:tcMar>
            <w:vAlign w:val="center"/>
          </w:tcPr>
          <w:p w14:paraId="6097A652" w14:textId="77777777" w:rsidR="00101345" w:rsidRDefault="00000000">
            <w:pPr>
              <w:spacing w:before="60" w:after="60"/>
              <w:jc w:val="center"/>
            </w:pPr>
            <w:r>
              <w:rPr>
                <w:sz w:val="20"/>
                <w:szCs w:val="20"/>
              </w:rPr>
              <w:t>-0.673</w:t>
            </w:r>
          </w:p>
        </w:tc>
        <w:tc>
          <w:tcPr>
            <w:tcW w:w="2000" w:type="dxa"/>
            <w:shd w:val="clear" w:color="auto" w:fill="F2F2F2"/>
            <w:tcMar>
              <w:top w:w="80" w:type="dxa"/>
              <w:left w:w="120" w:type="dxa"/>
              <w:bottom w:w="80" w:type="dxa"/>
              <w:right w:w="120" w:type="dxa"/>
            </w:tcMar>
            <w:vAlign w:val="center"/>
          </w:tcPr>
          <w:p w14:paraId="34D48868" w14:textId="77777777" w:rsidR="00101345" w:rsidRDefault="00000000">
            <w:pPr>
              <w:spacing w:before="60" w:after="60"/>
              <w:jc w:val="center"/>
            </w:pPr>
            <w:r>
              <w:rPr>
                <w:sz w:val="20"/>
                <w:szCs w:val="20"/>
              </w:rPr>
              <w:t>0.568</w:t>
            </w:r>
          </w:p>
        </w:tc>
        <w:tc>
          <w:tcPr>
            <w:tcW w:w="2360" w:type="dxa"/>
            <w:shd w:val="clear" w:color="auto" w:fill="F2F2F2"/>
            <w:tcMar>
              <w:top w:w="80" w:type="dxa"/>
              <w:left w:w="120" w:type="dxa"/>
              <w:bottom w:w="80" w:type="dxa"/>
              <w:right w:w="120" w:type="dxa"/>
            </w:tcMar>
            <w:vAlign w:val="center"/>
          </w:tcPr>
          <w:p w14:paraId="5881D7D8" w14:textId="77777777" w:rsidR="00101345" w:rsidRDefault="00000000">
            <w:pPr>
              <w:spacing w:before="60" w:after="60"/>
              <w:jc w:val="center"/>
            </w:pPr>
            <w:r>
              <w:rPr>
                <w:sz w:val="20"/>
                <w:szCs w:val="20"/>
              </w:rPr>
              <w:t>0.241</w:t>
            </w:r>
          </w:p>
        </w:tc>
      </w:tr>
    </w:tbl>
    <w:p w14:paraId="756B7962" w14:textId="77777777" w:rsidR="00101345" w:rsidRDefault="00000000">
      <w:pPr>
        <w:spacing w:before="60" w:after="160"/>
      </w:pPr>
      <w:r>
        <w:rPr>
          <w:i/>
          <w:iCs/>
          <w:color w:val="BFBFBF"/>
          <w:sz w:val="18"/>
          <w:szCs w:val="18"/>
        </w:rPr>
        <w:t>Note: All specifications use Two-Way Fixed Effects with the same control variables. No specification produces a significant DiD estimate.</w:t>
      </w:r>
    </w:p>
    <w:p w14:paraId="371C9A51" w14:textId="77777777" w:rsidR="00101345" w:rsidRDefault="00000000">
      <w:pPr>
        <w:spacing w:after="140" w:line="288" w:lineRule="auto"/>
        <w:jc w:val="both"/>
      </w:pPr>
      <w:r>
        <w:t>The DiD coefficient remains negative and statistically insignificant across all five leave-one-out specifications, with p-values ranging from 0.241 (drop Cambodia) to 0.883 (drop Philippines). The coefficient magnitude fluctuates between -0.10 and -0.70, a range that is narrow relative to the standard errors and entirely consistent with zero. The null result is therefore not an artefact of any particular country in the control group. The robustness of the finding across all specifications substantially strengthens confidence in the main conclusion.</w:t>
      </w:r>
    </w:p>
    <w:p w14:paraId="5F58D6B0" w14:textId="77777777" w:rsidR="00101345" w:rsidRDefault="00101345">
      <w:pPr>
        <w:spacing w:after="80"/>
      </w:pPr>
    </w:p>
    <w:p w14:paraId="6E30FFCB" w14:textId="77777777" w:rsidR="00101345" w:rsidRDefault="00000000">
      <w:r>
        <w:br w:type="page"/>
      </w:r>
    </w:p>
    <w:p w14:paraId="68D1F120" w14:textId="77777777" w:rsidR="00101345" w:rsidRDefault="00000000">
      <w:pPr>
        <w:pStyle w:val="Heading1"/>
        <w:shd w:val="clear" w:color="auto" w:fill="1F3864"/>
        <w:spacing w:before="320" w:after="160"/>
        <w:ind w:left="144" w:right="144"/>
      </w:pPr>
      <w:r>
        <w:rPr>
          <w:b/>
          <w:bCs/>
          <w:color w:val="FFFFFF"/>
          <w:sz w:val="28"/>
          <w:szCs w:val="28"/>
        </w:rPr>
        <w:lastRenderedPageBreak/>
        <w:t>8. Discussion</w:t>
      </w:r>
    </w:p>
    <w:p w14:paraId="591C457F" w14:textId="77777777" w:rsidR="00101345" w:rsidRDefault="00101345">
      <w:pPr>
        <w:spacing w:after="80"/>
      </w:pPr>
    </w:p>
    <w:p w14:paraId="2CA2F00E" w14:textId="77777777" w:rsidR="00101345" w:rsidRDefault="00000000">
      <w:pPr>
        <w:pStyle w:val="Heading2"/>
        <w:spacing w:before="200" w:after="100"/>
      </w:pPr>
      <w:r>
        <w:rPr>
          <w:b/>
          <w:bCs/>
          <w:color w:val="1F3864"/>
          <w:sz w:val="24"/>
          <w:szCs w:val="24"/>
          <w:u w:val="single"/>
        </w:rPr>
        <w:t>8.1 Interpreting the Null Result</w:t>
      </w:r>
    </w:p>
    <w:p w14:paraId="01E0178A" w14:textId="77777777" w:rsidR="00101345" w:rsidRDefault="00000000">
      <w:pPr>
        <w:spacing w:after="140" w:line="288" w:lineRule="auto"/>
        <w:jc w:val="both"/>
      </w:pPr>
      <w:r>
        <w:t>The finding that CPEC did not produce a statistically significant increase in FDI inflows to Pakistan is not, on reflection, surprising — and several structural and institutional explanations are consistent with it.</w:t>
      </w:r>
    </w:p>
    <w:p w14:paraId="0CF3C36E" w14:textId="77777777" w:rsidR="00101345" w:rsidRDefault="00000000">
      <w:pPr>
        <w:spacing w:after="140" w:line="288" w:lineRule="auto"/>
        <w:jc w:val="both"/>
      </w:pPr>
      <w:r>
        <w:t>First, the nature of CPEC investment itself is important. The bulk of CPEC-associated financial flows take the form of sovereign loans and state-to-state infrastructure financing — Chinese state-owned enterprises executing projects financed by Chinese policy banks (China Ex-Im Bank, China Development Bank). These flows do not register as FDI in the standard balance of payments sense, which records only equity investment and reinvested earnings by foreign investors seeking a lasting ownership interest. CPEC's core financing mechanism is therefore structurally excluded from the dependent variable used in this study.</w:t>
      </w:r>
    </w:p>
    <w:p w14:paraId="7E9D1293" w14:textId="77777777" w:rsidR="00101345" w:rsidRDefault="00000000">
      <w:pPr>
        <w:spacing w:after="140" w:line="288" w:lineRule="auto"/>
        <w:jc w:val="both"/>
      </w:pPr>
      <w:r>
        <w:t xml:space="preserve">Second, the security environment in Pakistan — particularly in CPEC corridor areas — deterred private foreign investors throughout the sample period. Political stability deteriorated progressively post-2013 by WGI measures, and episodic violence against project workers further raised perceived risk premia for private capital. CPEC's announcement may have </w:t>
      </w:r>
      <w:proofErr w:type="spellStart"/>
      <w:r>
        <w:t>signalled</w:t>
      </w:r>
      <w:proofErr w:type="spellEnd"/>
      <w:r>
        <w:t xml:space="preserve"> Chinese state confidence in Pakistan, but private investors from third countries are not bound by geopolitical relationships.</w:t>
      </w:r>
    </w:p>
    <w:p w14:paraId="6ADE8A66" w14:textId="77777777" w:rsidR="00101345" w:rsidRDefault="00000000">
      <w:pPr>
        <w:spacing w:after="140" w:line="288" w:lineRule="auto"/>
        <w:jc w:val="both"/>
      </w:pPr>
      <w:r>
        <w:t>Third, structural absorptive constraints — regulatory burden, contract enforcement, repatriation restrictions, and energy reliability — remained largely unreformed over the sample period, limiting Pakistan's ability to convert improved infrastructure into broader FDI attraction. The infrastructure variable is positive and significant in the regression, suggesting that infrastructure quality matters for FDI generally; the implication is that CPEC infrastructure, to the extent it remains inside the Chinese project ecosystem, has not yet translated into improved absorptive conditions for third-country investors.</w:t>
      </w:r>
    </w:p>
    <w:p w14:paraId="76706975" w14:textId="77777777" w:rsidR="00101345" w:rsidRDefault="00000000">
      <w:pPr>
        <w:pStyle w:val="Heading2"/>
        <w:spacing w:before="200" w:after="100"/>
      </w:pPr>
      <w:r>
        <w:rPr>
          <w:b/>
          <w:bCs/>
          <w:color w:val="1F3864"/>
          <w:sz w:val="24"/>
          <w:szCs w:val="24"/>
          <w:u w:val="single"/>
        </w:rPr>
        <w:t>8.2 Limitations</w:t>
      </w:r>
    </w:p>
    <w:p w14:paraId="518A97D4" w14:textId="77777777" w:rsidR="00101345" w:rsidRDefault="00000000">
      <w:pPr>
        <w:spacing w:after="140" w:line="288" w:lineRule="auto"/>
        <w:jc w:val="both"/>
      </w:pPr>
      <w:r>
        <w:t>Several limitations of this analysis warrant explicit acknowledgment. The control group of five countries, while carefully selected, is small, limiting the degrees of freedom available for the Random Effects estimator and increasing reliance on the two-way FE specification. The parallel trends assumption, while formally supported by the event study pre-trends test, cannot be proven — it is fundamentally a statement about a counterfactual. The Philippines exhibits a somewhat divergent pre-trend trajectory relative to Pakistan, representing the clearest potential violation of this assumption.</w:t>
      </w:r>
    </w:p>
    <w:p w14:paraId="4CEF7043" w14:textId="77777777" w:rsidR="00101345" w:rsidRDefault="00000000">
      <w:pPr>
        <w:spacing w:after="140" w:line="288" w:lineRule="auto"/>
        <w:jc w:val="both"/>
      </w:pPr>
      <w:r>
        <w:t xml:space="preserve">Additionally, annual data may be too coarse to capture high-frequency investment responses to the CPEC announcement. Monthly or quarterly data — if available — might reveal short-lived FDI spikes around project milestones. Finally, the treatment definition (2015 as a binary cutoff) does </w:t>
      </w:r>
      <w:r>
        <w:lastRenderedPageBreak/>
        <w:t>not capture the gradual and uneven implementation timeline of CPEC across energy, transport, and industrial zones, which may have different investment multipliers at different points in time.</w:t>
      </w:r>
    </w:p>
    <w:p w14:paraId="18B2A8C9" w14:textId="77777777" w:rsidR="00101345" w:rsidRDefault="00101345">
      <w:pPr>
        <w:spacing w:after="80"/>
      </w:pPr>
    </w:p>
    <w:p w14:paraId="1901F6D2" w14:textId="77777777" w:rsidR="00101345" w:rsidRDefault="00000000">
      <w:r>
        <w:br w:type="page"/>
      </w:r>
    </w:p>
    <w:p w14:paraId="7B669AEC" w14:textId="77777777" w:rsidR="00101345" w:rsidRDefault="00000000">
      <w:pPr>
        <w:pStyle w:val="Heading1"/>
        <w:shd w:val="clear" w:color="auto" w:fill="1F3864"/>
        <w:spacing w:before="320" w:after="160"/>
        <w:ind w:left="144" w:right="144"/>
      </w:pPr>
      <w:r>
        <w:rPr>
          <w:b/>
          <w:bCs/>
          <w:color w:val="FFFFFF"/>
          <w:sz w:val="28"/>
          <w:szCs w:val="28"/>
        </w:rPr>
        <w:lastRenderedPageBreak/>
        <w:t>9. Conclusion</w:t>
      </w:r>
    </w:p>
    <w:p w14:paraId="2A523843" w14:textId="77777777" w:rsidR="00101345" w:rsidRDefault="00101345">
      <w:pPr>
        <w:spacing w:after="80"/>
      </w:pPr>
    </w:p>
    <w:p w14:paraId="2F4524CD" w14:textId="77777777" w:rsidR="00101345" w:rsidRDefault="00000000">
      <w:pPr>
        <w:spacing w:after="140" w:line="288" w:lineRule="auto"/>
        <w:jc w:val="both"/>
      </w:pPr>
      <w:r>
        <w:t>This study applied a Difference-in-Differences design with a two-way fixed effects estimator and an event study extension to test whether CPEC caused a statistically significant increase in FDI inflows to Pakistan, using a panel of six countries over 2005–2022. The main DiD estimator from the preferred Two-Way Fixed Effects model is -0.463 percentage points of GDP (p = 0.453), which is statistically indistinguishable from zero. The event study confirms this finding: no pre-treatment year departs significantly from the 2014 base (supporting parallel trends), and no post-treatment year produces a significant positive treatment effect. A leave-one-out robustness check across all five control countries confirms the null result is not sensitive to control group composition.</w:t>
      </w:r>
    </w:p>
    <w:p w14:paraId="0AA1AABC" w14:textId="77777777" w:rsidR="00101345" w:rsidRDefault="00000000">
      <w:pPr>
        <w:spacing w:after="140" w:line="288" w:lineRule="auto"/>
        <w:jc w:val="both"/>
      </w:pPr>
      <w:r>
        <w:t>The conclusion is clear: CPEC did not produce a statistically detectable increase in conventional FDI inflows to Pakistan over the study period. This does not imply that CPEC has had no economic impact — its effects on sovereign debt, energy capacity, and trade logistics may be substantial and are not captured in this study's outcome variable. But the expectation that CPEC would catalyse a broader wave of private foreign investment into Pakistan is not supported by the data.</w:t>
      </w:r>
    </w:p>
    <w:p w14:paraId="771FB51A" w14:textId="77777777" w:rsidR="00101345" w:rsidRDefault="00000000">
      <w:pPr>
        <w:spacing w:after="140" w:line="288" w:lineRule="auto"/>
        <w:jc w:val="both"/>
      </w:pPr>
      <w:r>
        <w:t>For policymakers, this finding underscores a key distinction: infrastructure investment by a strategic partner is not a substitute for the domestic reforms — in regulatory quality, contract enforcement, political stability, and investor protection — that attract private capital. Pakistan's FDI challenge is structural, and CPEC alone cannot resolve it.</w:t>
      </w:r>
    </w:p>
    <w:p w14:paraId="1673993D" w14:textId="77777777" w:rsidR="00101345" w:rsidRDefault="00101345">
      <w:pPr>
        <w:spacing w:after="80"/>
      </w:pPr>
    </w:p>
    <w:p w14:paraId="6BCA7720" w14:textId="77777777" w:rsidR="00101345" w:rsidRDefault="00000000">
      <w:r>
        <w:br w:type="page"/>
      </w:r>
    </w:p>
    <w:p w14:paraId="5148E8C8" w14:textId="77777777" w:rsidR="00101345" w:rsidRDefault="00000000">
      <w:pPr>
        <w:pStyle w:val="Heading1"/>
        <w:shd w:val="clear" w:color="auto" w:fill="1F3864"/>
        <w:spacing w:before="320" w:after="160"/>
        <w:ind w:left="144" w:right="144"/>
      </w:pPr>
      <w:r>
        <w:rPr>
          <w:b/>
          <w:bCs/>
          <w:color w:val="FFFFFF"/>
          <w:sz w:val="28"/>
          <w:szCs w:val="28"/>
        </w:rPr>
        <w:lastRenderedPageBreak/>
        <w:t>10. Data Sources and Software</w:t>
      </w:r>
    </w:p>
    <w:p w14:paraId="751718B2" w14:textId="77777777" w:rsidR="00101345" w:rsidRDefault="00101345">
      <w:pPr>
        <w:spacing w:after="80"/>
      </w:pPr>
    </w:p>
    <w:p w14:paraId="121B4EEA" w14:textId="77777777" w:rsidR="00101345" w:rsidRDefault="00000000">
      <w:pPr>
        <w:spacing w:after="140" w:line="288" w:lineRule="auto"/>
        <w:jc w:val="both"/>
      </w:pPr>
      <w:r>
        <w:t>The following data sources and software were used in this study:</w:t>
      </w:r>
    </w:p>
    <w:p w14:paraId="3CAF305D" w14:textId="77777777" w:rsidR="00101345" w:rsidRDefault="00000000">
      <w:pPr>
        <w:pStyle w:val="ListParagraph"/>
        <w:numPr>
          <w:ilvl w:val="0"/>
          <w:numId w:val="1"/>
        </w:numPr>
        <w:spacing w:after="80" w:line="276" w:lineRule="auto"/>
      </w:pPr>
      <w:r>
        <w:t>World Bank World Development Indicators (WDI) — databank.worldbank.org</w:t>
      </w:r>
    </w:p>
    <w:p w14:paraId="27DF32F5" w14:textId="77777777" w:rsidR="00101345" w:rsidRDefault="00000000">
      <w:pPr>
        <w:pStyle w:val="ListParagraph"/>
        <w:numPr>
          <w:ilvl w:val="0"/>
          <w:numId w:val="1"/>
        </w:numPr>
        <w:spacing w:after="80" w:line="276" w:lineRule="auto"/>
      </w:pPr>
      <w:r>
        <w:t>World Bank Worldwide Governance Indicators (WGI) — databank.worldbank.org</w:t>
      </w:r>
    </w:p>
    <w:p w14:paraId="38B2AC4F" w14:textId="77777777" w:rsidR="00101345" w:rsidRDefault="00000000">
      <w:pPr>
        <w:pStyle w:val="ListParagraph"/>
        <w:numPr>
          <w:ilvl w:val="0"/>
          <w:numId w:val="1"/>
        </w:numPr>
        <w:spacing w:after="80" w:line="276" w:lineRule="auto"/>
      </w:pPr>
      <w:r>
        <w:t>EViews 14 — panel estimation, Hausman test, event study regression</w:t>
      </w:r>
    </w:p>
    <w:p w14:paraId="39891B3B" w14:textId="77777777" w:rsidR="00101345" w:rsidRDefault="00000000">
      <w:pPr>
        <w:pStyle w:val="ListParagraph"/>
        <w:numPr>
          <w:ilvl w:val="0"/>
          <w:numId w:val="1"/>
        </w:numPr>
        <w:spacing w:after="80" w:line="276" w:lineRule="auto"/>
      </w:pPr>
      <w:r>
        <w:t xml:space="preserve">R (ggplot2, </w:t>
      </w:r>
      <w:proofErr w:type="spellStart"/>
      <w:r>
        <w:t>dplyr</w:t>
      </w:r>
      <w:proofErr w:type="spellEnd"/>
      <w:r>
        <w:t xml:space="preserve">) — event study </w:t>
      </w:r>
      <w:proofErr w:type="spellStart"/>
      <w:r>
        <w:t>visualisation</w:t>
      </w:r>
      <w:proofErr w:type="spellEnd"/>
    </w:p>
    <w:p w14:paraId="5BE679AD" w14:textId="77777777" w:rsidR="00101345" w:rsidRDefault="00101345">
      <w:pPr>
        <w:spacing w:after="80"/>
      </w:pPr>
    </w:p>
    <w:p w14:paraId="68A3823D" w14:textId="77777777" w:rsidR="00101345" w:rsidRDefault="00101345">
      <w:pPr>
        <w:spacing w:after="80"/>
      </w:pPr>
    </w:p>
    <w:sectPr w:rsidR="00101345">
      <w:headerReference w:type="default" r:id="rId8"/>
      <w:footerReference w:type="default" r:id="rId9"/>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D177" w14:textId="77777777" w:rsidR="002D583E" w:rsidRDefault="002D583E">
      <w:r>
        <w:separator/>
      </w:r>
    </w:p>
  </w:endnote>
  <w:endnote w:type="continuationSeparator" w:id="0">
    <w:p w14:paraId="04186306" w14:textId="77777777" w:rsidR="002D583E" w:rsidRDefault="002D5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A742" w14:textId="3FD74815" w:rsidR="00101345" w:rsidRDefault="00101345" w:rsidP="00B433B9">
    <w:pPr>
      <w:pBdr>
        <w:top w:val="single" w:sz="6" w:space="0" w:color="2E5FA3"/>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6787" w14:textId="77777777" w:rsidR="002D583E" w:rsidRDefault="002D583E">
      <w:r>
        <w:separator/>
      </w:r>
    </w:p>
  </w:footnote>
  <w:footnote w:type="continuationSeparator" w:id="0">
    <w:p w14:paraId="62D1A311" w14:textId="77777777" w:rsidR="002D583E" w:rsidRDefault="002D5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30AE" w14:textId="77777777" w:rsidR="00101345" w:rsidRDefault="00000000">
    <w:pPr>
      <w:pBdr>
        <w:bottom w:val="single" w:sz="6" w:space="0" w:color="2E5FA3"/>
      </w:pBdr>
      <w:jc w:val="right"/>
    </w:pPr>
    <w:r>
      <w:rPr>
        <w:i/>
        <w:iCs/>
        <w:color w:val="BFBFBF"/>
        <w:sz w:val="18"/>
        <w:szCs w:val="18"/>
      </w:rPr>
      <w:t>Project 5 — CPEC &amp; FDI: A Difference-in-Differences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0188"/>
    <w:multiLevelType w:val="hybridMultilevel"/>
    <w:tmpl w:val="D116F10C"/>
    <w:lvl w:ilvl="0" w:tplc="DDC08CFC">
      <w:start w:val="1"/>
      <w:numFmt w:val="bullet"/>
      <w:lvlText w:val="•"/>
      <w:lvlJc w:val="left"/>
      <w:pPr>
        <w:ind w:left="720" w:hanging="360"/>
      </w:pPr>
    </w:lvl>
    <w:lvl w:ilvl="1" w:tplc="4BE4F36C">
      <w:numFmt w:val="decimal"/>
      <w:lvlText w:val=""/>
      <w:lvlJc w:val="left"/>
    </w:lvl>
    <w:lvl w:ilvl="2" w:tplc="22E6365C">
      <w:numFmt w:val="decimal"/>
      <w:lvlText w:val=""/>
      <w:lvlJc w:val="left"/>
    </w:lvl>
    <w:lvl w:ilvl="3" w:tplc="B8F4EB20">
      <w:numFmt w:val="decimal"/>
      <w:lvlText w:val=""/>
      <w:lvlJc w:val="left"/>
    </w:lvl>
    <w:lvl w:ilvl="4" w:tplc="D7A0C86A">
      <w:numFmt w:val="decimal"/>
      <w:lvlText w:val=""/>
      <w:lvlJc w:val="left"/>
    </w:lvl>
    <w:lvl w:ilvl="5" w:tplc="206C340A">
      <w:numFmt w:val="decimal"/>
      <w:lvlText w:val=""/>
      <w:lvlJc w:val="left"/>
    </w:lvl>
    <w:lvl w:ilvl="6" w:tplc="E30AA69C">
      <w:numFmt w:val="decimal"/>
      <w:lvlText w:val=""/>
      <w:lvlJc w:val="left"/>
    </w:lvl>
    <w:lvl w:ilvl="7" w:tplc="6010B0A6">
      <w:numFmt w:val="decimal"/>
      <w:lvlText w:val=""/>
      <w:lvlJc w:val="left"/>
    </w:lvl>
    <w:lvl w:ilvl="8" w:tplc="52B2D734">
      <w:numFmt w:val="decimal"/>
      <w:lvlText w:val=""/>
      <w:lvlJc w:val="left"/>
    </w:lvl>
  </w:abstractNum>
  <w:abstractNum w:abstractNumId="1" w15:restartNumberingAfterBreak="0">
    <w:nsid w:val="2557468B"/>
    <w:multiLevelType w:val="hybridMultilevel"/>
    <w:tmpl w:val="C12A1024"/>
    <w:lvl w:ilvl="0" w:tplc="9FBA1E7A">
      <w:start w:val="1"/>
      <w:numFmt w:val="bullet"/>
      <w:lvlText w:val="●"/>
      <w:lvlJc w:val="left"/>
      <w:pPr>
        <w:ind w:left="720" w:hanging="360"/>
      </w:pPr>
    </w:lvl>
    <w:lvl w:ilvl="1" w:tplc="B0FC22FC">
      <w:start w:val="1"/>
      <w:numFmt w:val="bullet"/>
      <w:lvlText w:val="○"/>
      <w:lvlJc w:val="left"/>
      <w:pPr>
        <w:ind w:left="1440" w:hanging="360"/>
      </w:pPr>
    </w:lvl>
    <w:lvl w:ilvl="2" w:tplc="6C1C0C72">
      <w:start w:val="1"/>
      <w:numFmt w:val="bullet"/>
      <w:lvlText w:val="■"/>
      <w:lvlJc w:val="left"/>
      <w:pPr>
        <w:ind w:left="2160" w:hanging="360"/>
      </w:pPr>
    </w:lvl>
    <w:lvl w:ilvl="3" w:tplc="DB887E6E">
      <w:start w:val="1"/>
      <w:numFmt w:val="bullet"/>
      <w:lvlText w:val="●"/>
      <w:lvlJc w:val="left"/>
      <w:pPr>
        <w:ind w:left="2880" w:hanging="360"/>
      </w:pPr>
    </w:lvl>
    <w:lvl w:ilvl="4" w:tplc="D4BE03CE">
      <w:start w:val="1"/>
      <w:numFmt w:val="bullet"/>
      <w:lvlText w:val="○"/>
      <w:lvlJc w:val="left"/>
      <w:pPr>
        <w:ind w:left="3600" w:hanging="360"/>
      </w:pPr>
    </w:lvl>
    <w:lvl w:ilvl="5" w:tplc="4424693E">
      <w:start w:val="1"/>
      <w:numFmt w:val="bullet"/>
      <w:lvlText w:val="■"/>
      <w:lvlJc w:val="left"/>
      <w:pPr>
        <w:ind w:left="4320" w:hanging="360"/>
      </w:pPr>
    </w:lvl>
    <w:lvl w:ilvl="6" w:tplc="D6F4D51C">
      <w:start w:val="1"/>
      <w:numFmt w:val="bullet"/>
      <w:lvlText w:val="●"/>
      <w:lvlJc w:val="left"/>
      <w:pPr>
        <w:ind w:left="5040" w:hanging="360"/>
      </w:pPr>
    </w:lvl>
    <w:lvl w:ilvl="7" w:tplc="15A4AA74">
      <w:start w:val="1"/>
      <w:numFmt w:val="bullet"/>
      <w:lvlText w:val="●"/>
      <w:lvlJc w:val="left"/>
      <w:pPr>
        <w:ind w:left="5760" w:hanging="360"/>
      </w:pPr>
    </w:lvl>
    <w:lvl w:ilvl="8" w:tplc="BFCEE396">
      <w:start w:val="1"/>
      <w:numFmt w:val="bullet"/>
      <w:lvlText w:val="●"/>
      <w:lvlJc w:val="left"/>
      <w:pPr>
        <w:ind w:left="6480" w:hanging="360"/>
      </w:pPr>
    </w:lvl>
  </w:abstractNum>
  <w:num w:numId="1" w16cid:durableId="18033828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45"/>
    <w:rsid w:val="00101345"/>
    <w:rsid w:val="00170FC1"/>
    <w:rsid w:val="002D583E"/>
    <w:rsid w:val="004663E0"/>
    <w:rsid w:val="00986E2A"/>
    <w:rsid w:val="00B433B9"/>
    <w:rsid w:val="00F32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960C0"/>
  <w15:docId w15:val="{76458427-B4F4-4539-87B4-A6AE4CF7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33B9"/>
    <w:pPr>
      <w:tabs>
        <w:tab w:val="center" w:pos="4680"/>
        <w:tab w:val="right" w:pos="9360"/>
      </w:tabs>
    </w:pPr>
  </w:style>
  <w:style w:type="character" w:customStyle="1" w:styleId="HeaderChar">
    <w:name w:val="Header Char"/>
    <w:basedOn w:val="DefaultParagraphFont"/>
    <w:link w:val="Header"/>
    <w:uiPriority w:val="99"/>
    <w:rsid w:val="00B433B9"/>
  </w:style>
  <w:style w:type="paragraph" w:styleId="Footer">
    <w:name w:val="footer"/>
    <w:basedOn w:val="Normal"/>
    <w:link w:val="FooterChar"/>
    <w:uiPriority w:val="99"/>
    <w:unhideWhenUsed/>
    <w:rsid w:val="00B433B9"/>
    <w:pPr>
      <w:tabs>
        <w:tab w:val="center" w:pos="4680"/>
        <w:tab w:val="right" w:pos="9360"/>
      </w:tabs>
    </w:pPr>
  </w:style>
  <w:style w:type="character" w:customStyle="1" w:styleId="FooterChar">
    <w:name w:val="Footer Char"/>
    <w:basedOn w:val="DefaultParagraphFont"/>
    <w:link w:val="Footer"/>
    <w:uiPriority w:val="99"/>
    <w:rsid w:val="00B43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3123</Words>
  <Characters>17805</Characters>
  <Application>Microsoft Office Word</Application>
  <DocSecurity>0</DocSecurity>
  <Lines>148</Lines>
  <Paragraphs>41</Paragraphs>
  <ScaleCrop>false</ScaleCrop>
  <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Ahmer Anwaar</cp:lastModifiedBy>
  <cp:revision>5</cp:revision>
  <dcterms:created xsi:type="dcterms:W3CDTF">2026-07-05T15:25:00Z</dcterms:created>
  <dcterms:modified xsi:type="dcterms:W3CDTF">2026-07-05T15:36:00Z</dcterms:modified>
</cp:coreProperties>
</file>