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EB2CA" w14:textId="77777777" w:rsidR="00D576C9" w:rsidRDefault="00D576C9">
      <w:pPr>
        <w:spacing w:before="1440"/>
      </w:pPr>
    </w:p>
    <w:p w14:paraId="6DB0E589" w14:textId="77777777" w:rsidR="00D576C9" w:rsidRDefault="00000000">
      <w:pPr>
        <w:pBdr>
          <w:bottom w:val="single" w:sz="8" w:space="6" w:color="2E75B6"/>
        </w:pBdr>
        <w:spacing w:after="240"/>
        <w:jc w:val="center"/>
      </w:pPr>
      <w:r>
        <w:rPr>
          <w:b/>
          <w:bCs/>
          <w:color w:val="1F4E79"/>
          <w:sz w:val="40"/>
          <w:szCs w:val="40"/>
        </w:rPr>
        <w:t>Time Series Econometrics Analysis of</w:t>
      </w:r>
    </w:p>
    <w:p w14:paraId="3662A21F" w14:textId="77777777" w:rsidR="00D576C9" w:rsidRDefault="00000000">
      <w:pPr>
        <w:spacing w:before="120" w:after="480"/>
        <w:jc w:val="center"/>
      </w:pPr>
      <w:r>
        <w:rPr>
          <w:b/>
          <w:bCs/>
          <w:color w:val="1F4E79"/>
          <w:sz w:val="40"/>
          <w:szCs w:val="40"/>
        </w:rPr>
        <w:t>Pakistani Macroeconomic Variables (1970–2020)</w:t>
      </w:r>
    </w:p>
    <w:p w14:paraId="00F241BA" w14:textId="77777777" w:rsidR="00D576C9" w:rsidRDefault="00000000">
      <w:pPr>
        <w:spacing w:after="120"/>
        <w:jc w:val="center"/>
      </w:pPr>
      <w:r>
        <w:rPr>
          <w:color w:val="2E75B6"/>
          <w:sz w:val="24"/>
          <w:szCs w:val="24"/>
        </w:rPr>
        <w:t>Unit Root Testing | Cointegration | ARIMA | VAR | ARCH/GARCH</w:t>
      </w:r>
    </w:p>
    <w:p w14:paraId="68D03477" w14:textId="77777777" w:rsidR="00D576C9" w:rsidRDefault="00D576C9">
      <w:pPr>
        <w:spacing w:after="480"/>
      </w:pPr>
    </w:p>
    <w:p w14:paraId="1679A668" w14:textId="73995A01" w:rsidR="00D576C9" w:rsidRDefault="00000000">
      <w:pPr>
        <w:spacing w:after="80"/>
        <w:jc w:val="center"/>
      </w:pPr>
      <w:r>
        <w:rPr>
          <w:b/>
          <w:bCs/>
          <w:color w:val="000000"/>
          <w:sz w:val="24"/>
          <w:szCs w:val="24"/>
        </w:rPr>
        <w:t>Prepared by: Ahmer</w:t>
      </w:r>
      <w:r w:rsidR="00BE1F03">
        <w:rPr>
          <w:b/>
          <w:bCs/>
          <w:color w:val="000000"/>
          <w:sz w:val="24"/>
          <w:szCs w:val="24"/>
        </w:rPr>
        <w:t xml:space="preserve"> Anwaar</w:t>
      </w:r>
    </w:p>
    <w:p w14:paraId="53F1954F" w14:textId="77777777" w:rsidR="00D576C9" w:rsidRDefault="00000000">
      <w:pPr>
        <w:spacing w:after="80"/>
        <w:jc w:val="center"/>
      </w:pPr>
      <w:r>
        <w:rPr>
          <w:color w:val="595959"/>
        </w:rPr>
        <w:t>BS Economics — 7th Semester</w:t>
      </w:r>
    </w:p>
    <w:p w14:paraId="75F9D402" w14:textId="77777777" w:rsidR="00D576C9" w:rsidRDefault="00000000">
      <w:pPr>
        <w:spacing w:after="80"/>
        <w:jc w:val="center"/>
      </w:pPr>
      <w:r>
        <w:rPr>
          <w:color w:val="595959"/>
        </w:rPr>
        <w:t>Software: EViews | Cross-validated in R</w:t>
      </w:r>
    </w:p>
    <w:p w14:paraId="0C47488A" w14:textId="77777777" w:rsidR="00D576C9" w:rsidRDefault="00000000">
      <w:pPr>
        <w:spacing w:after="80"/>
        <w:jc w:val="center"/>
      </w:pPr>
      <w:r>
        <w:rPr>
          <w:color w:val="595959"/>
        </w:rPr>
        <w:t>Date: June 2026</w:t>
      </w:r>
    </w:p>
    <w:p w14:paraId="25B69AB2" w14:textId="77777777" w:rsidR="00D576C9" w:rsidRDefault="00000000">
      <w:r>
        <w:br w:type="page"/>
      </w:r>
    </w:p>
    <w:p w14:paraId="695959DB" w14:textId="77777777" w:rsidR="00D576C9" w:rsidRDefault="00000000">
      <w:pPr>
        <w:pStyle w:val="Heading1"/>
        <w:pBdr>
          <w:bottom w:val="single" w:sz="6" w:space="4" w:color="2E75B6"/>
        </w:pBdr>
      </w:pPr>
      <w:r>
        <w:lastRenderedPageBreak/>
        <w:t>1. Introduction</w:t>
      </w:r>
    </w:p>
    <w:p w14:paraId="23D9136E" w14:textId="77777777" w:rsidR="00D576C9" w:rsidRDefault="00000000" w:rsidP="007B2A6F">
      <w:pPr>
        <w:spacing w:before="60" w:after="100" w:line="300" w:lineRule="auto"/>
        <w:jc w:val="both"/>
      </w:pPr>
      <w:r>
        <w:rPr>
          <w:color w:val="595959"/>
        </w:rPr>
        <w:t xml:space="preserve">This report presents a comprehensive time series econometric analysis of four Pakistani macroeconomic variables over the period 1970–2020, using annual data sourced from the State Bank of Pakistan (SBP). The variables </w:t>
      </w:r>
      <w:proofErr w:type="spellStart"/>
      <w:r>
        <w:rPr>
          <w:color w:val="595959"/>
        </w:rPr>
        <w:t>analysed</w:t>
      </w:r>
      <w:proofErr w:type="spellEnd"/>
      <w:r>
        <w:rPr>
          <w:color w:val="595959"/>
        </w:rPr>
        <w:t xml:space="preserve"> are: CPI Inflation, Money Supply (M2), Government Expenditure, and the Exchange Rate (PKR/USD).</w:t>
      </w:r>
    </w:p>
    <w:p w14:paraId="59CB39E0" w14:textId="77777777" w:rsidR="00D576C9" w:rsidRDefault="00000000" w:rsidP="007B2A6F">
      <w:pPr>
        <w:spacing w:before="60" w:after="100" w:line="300" w:lineRule="auto"/>
        <w:jc w:val="both"/>
      </w:pPr>
      <w:r>
        <w:rPr>
          <w:color w:val="595959"/>
        </w:rPr>
        <w:t xml:space="preserve">This project constitutes Stage 3 of a self-directed applied econometrics roadmap, building directly on two prior projects. Project 1 examined the determinants of private consumption in Pakistan using OLS with heteroscedasticity-robust standard errors. Project 2 modelled the determinants of inflation using GLS with </w:t>
      </w:r>
      <w:proofErr w:type="gramStart"/>
      <w:r>
        <w:rPr>
          <w:color w:val="595959"/>
        </w:rPr>
        <w:t>AR(</w:t>
      </w:r>
      <w:proofErr w:type="gramEnd"/>
      <w:r>
        <w:rPr>
          <w:color w:val="595959"/>
        </w:rPr>
        <w:t xml:space="preserve">1) correction, where the use of growth rate transformations was applied as a practical remedy for non-stationarity. The current project </w:t>
      </w:r>
      <w:proofErr w:type="spellStart"/>
      <w:r>
        <w:rPr>
          <w:color w:val="595959"/>
        </w:rPr>
        <w:t>formalises</w:t>
      </w:r>
      <w:proofErr w:type="spellEnd"/>
      <w:r>
        <w:rPr>
          <w:color w:val="595959"/>
        </w:rPr>
        <w:t xml:space="preserve"> and extends that work by rigorously testing for non-stationarity, cointegration, and dynamic structure across all series.</w:t>
      </w:r>
    </w:p>
    <w:p w14:paraId="64783B30" w14:textId="77777777" w:rsidR="00D576C9" w:rsidRDefault="00000000" w:rsidP="007B2A6F">
      <w:pPr>
        <w:spacing w:before="60" w:after="100" w:line="300" w:lineRule="auto"/>
        <w:jc w:val="both"/>
      </w:pPr>
      <w:r>
        <w:rPr>
          <w:color w:val="595959"/>
        </w:rPr>
        <w:t>The analysis proceeds through five stages: (1) unit root testing using ADF and KPSS tests to determine the integration order of each series; (2) cointegration testing using the Engle-Granger two-step procedure and the Johansen maximum likelihood procedure; (3) ARIMA modelling on stationary series using the Box-Jenkins methodology; (4) Vector Autoregression (VAR) analysis including lag length selection, Granger causality testing, and Impulse Response Functions; and (5) ARCH/GARCH methodology — including the ARCH-LM pre-test — discussed conceptually in the context of the data frequency limitations encountered.</w:t>
      </w:r>
    </w:p>
    <w:p w14:paraId="73838118" w14:textId="77777777" w:rsidR="00D576C9" w:rsidRDefault="00D576C9">
      <w:pPr>
        <w:spacing w:after="120"/>
      </w:pPr>
    </w:p>
    <w:p w14:paraId="16FC5BB3" w14:textId="77777777" w:rsidR="00D576C9" w:rsidRDefault="00000000">
      <w:pPr>
        <w:pStyle w:val="Heading1"/>
        <w:pBdr>
          <w:bottom w:val="single" w:sz="6" w:space="4" w:color="2E75B6"/>
        </w:pBdr>
      </w:pPr>
      <w:r>
        <w:t>2. Data</w:t>
      </w:r>
    </w:p>
    <w:p w14:paraId="6A569DBE" w14:textId="77777777" w:rsidR="00D576C9" w:rsidRDefault="00000000">
      <w:pPr>
        <w:spacing w:before="60" w:after="100" w:line="300" w:lineRule="auto"/>
      </w:pPr>
      <w:r>
        <w:rPr>
          <w:color w:val="595959"/>
        </w:rPr>
        <w:t>All data are sourced from the State Bank of Pakistan (SBP) annual statistical publications. The sample covers 1970–2020, yielding up to 51 annual observations depending on the series and transformation applied. The four variables in levels are described below.</w:t>
      </w:r>
    </w:p>
    <w:p w14:paraId="17EE7950" w14:textId="77777777" w:rsidR="00D576C9" w:rsidRDefault="00D576C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480"/>
        <w:gridCol w:w="2480"/>
      </w:tblGrid>
      <w:tr w:rsidR="00D576C9" w14:paraId="42B002D5" w14:textId="77777777">
        <w:tblPrEx>
          <w:tblCellMar>
            <w:top w:w="0" w:type="dxa"/>
            <w:bottom w:w="0" w:type="dxa"/>
          </w:tblCellMar>
        </w:tblPrEx>
        <w:trPr>
          <w:tblHeader/>
        </w:trPr>
        <w:tc>
          <w:tcPr>
            <w:tcW w:w="2200" w:type="dxa"/>
            <w:tcBorders>
              <w:top w:val="single" w:sz="4" w:space="0" w:color="2E75B6"/>
              <w:left w:val="single" w:sz="1" w:space="0" w:color="AAAAAA"/>
              <w:bottom w:val="single" w:sz="4" w:space="0" w:color="2E75B6"/>
              <w:right w:val="single" w:sz="1" w:space="0" w:color="AAAAAA"/>
            </w:tcBorders>
            <w:shd w:val="clear" w:color="auto" w:fill="1F4E79"/>
            <w:tcMar>
              <w:top w:w="80" w:type="dxa"/>
              <w:left w:w="120" w:type="dxa"/>
              <w:bottom w:w="80" w:type="dxa"/>
              <w:right w:w="120" w:type="dxa"/>
            </w:tcMar>
            <w:vAlign w:val="center"/>
          </w:tcPr>
          <w:p w14:paraId="32B0AC22" w14:textId="77777777" w:rsidR="00D576C9" w:rsidRDefault="00000000">
            <w:r>
              <w:rPr>
                <w:b/>
                <w:bCs/>
                <w:color w:val="FFFFFF"/>
                <w:sz w:val="20"/>
                <w:szCs w:val="20"/>
              </w:rPr>
              <w:t>Variable</w:t>
            </w:r>
          </w:p>
        </w:tc>
        <w:tc>
          <w:tcPr>
            <w:tcW w:w="2200" w:type="dxa"/>
            <w:tcBorders>
              <w:top w:val="single" w:sz="4" w:space="0" w:color="2E75B6"/>
              <w:left w:val="single" w:sz="1" w:space="0" w:color="AAAAAA"/>
              <w:bottom w:val="single" w:sz="4" w:space="0" w:color="2E75B6"/>
              <w:right w:val="single" w:sz="1" w:space="0" w:color="AAAAAA"/>
            </w:tcBorders>
            <w:shd w:val="clear" w:color="auto" w:fill="1F4E79"/>
            <w:tcMar>
              <w:top w:w="80" w:type="dxa"/>
              <w:left w:w="120" w:type="dxa"/>
              <w:bottom w:w="80" w:type="dxa"/>
              <w:right w:w="120" w:type="dxa"/>
            </w:tcMar>
            <w:vAlign w:val="center"/>
          </w:tcPr>
          <w:p w14:paraId="3EC8656D" w14:textId="77777777" w:rsidR="00D576C9" w:rsidRDefault="00000000">
            <w:r>
              <w:rPr>
                <w:b/>
                <w:bCs/>
                <w:color w:val="FFFFFF"/>
                <w:sz w:val="20"/>
                <w:szCs w:val="20"/>
              </w:rPr>
              <w:t>Units</w:t>
            </w:r>
          </w:p>
        </w:tc>
        <w:tc>
          <w:tcPr>
            <w:tcW w:w="2480" w:type="dxa"/>
            <w:tcBorders>
              <w:top w:val="single" w:sz="4" w:space="0" w:color="2E75B6"/>
              <w:left w:val="single" w:sz="1" w:space="0" w:color="AAAAAA"/>
              <w:bottom w:val="single" w:sz="4" w:space="0" w:color="2E75B6"/>
              <w:right w:val="single" w:sz="1" w:space="0" w:color="AAAAAA"/>
            </w:tcBorders>
            <w:shd w:val="clear" w:color="auto" w:fill="1F4E79"/>
            <w:tcMar>
              <w:top w:w="80" w:type="dxa"/>
              <w:left w:w="120" w:type="dxa"/>
              <w:bottom w:w="80" w:type="dxa"/>
              <w:right w:w="120" w:type="dxa"/>
            </w:tcMar>
            <w:vAlign w:val="center"/>
          </w:tcPr>
          <w:p w14:paraId="28E7CE9B" w14:textId="77777777" w:rsidR="00D576C9" w:rsidRDefault="00000000">
            <w:r>
              <w:rPr>
                <w:b/>
                <w:bCs/>
                <w:color w:val="FFFFFF"/>
                <w:sz w:val="20"/>
                <w:szCs w:val="20"/>
              </w:rPr>
              <w:t>Transformation</w:t>
            </w:r>
          </w:p>
        </w:tc>
        <w:tc>
          <w:tcPr>
            <w:tcW w:w="2480" w:type="dxa"/>
            <w:tcBorders>
              <w:top w:val="single" w:sz="4" w:space="0" w:color="2E75B6"/>
              <w:left w:val="single" w:sz="1" w:space="0" w:color="AAAAAA"/>
              <w:bottom w:val="single" w:sz="4" w:space="0" w:color="2E75B6"/>
              <w:right w:val="single" w:sz="1" w:space="0" w:color="AAAAAA"/>
            </w:tcBorders>
            <w:shd w:val="clear" w:color="auto" w:fill="1F4E79"/>
            <w:tcMar>
              <w:top w:w="80" w:type="dxa"/>
              <w:left w:w="120" w:type="dxa"/>
              <w:bottom w:w="80" w:type="dxa"/>
              <w:right w:w="120" w:type="dxa"/>
            </w:tcMar>
            <w:vAlign w:val="center"/>
          </w:tcPr>
          <w:p w14:paraId="5FEDD923" w14:textId="77777777" w:rsidR="00D576C9" w:rsidRDefault="00000000">
            <w:r>
              <w:rPr>
                <w:b/>
                <w:bCs/>
                <w:color w:val="FFFFFF"/>
                <w:sz w:val="20"/>
                <w:szCs w:val="20"/>
              </w:rPr>
              <w:t>Used As</w:t>
            </w:r>
          </w:p>
        </w:tc>
      </w:tr>
      <w:tr w:rsidR="00D576C9" w14:paraId="10EEACA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698D87" w14:textId="77777777" w:rsidR="00D576C9" w:rsidRDefault="00000000">
            <w:proofErr w:type="spellStart"/>
            <w:r>
              <w:rPr>
                <w:color w:val="000000"/>
                <w:sz w:val="20"/>
                <w:szCs w:val="20"/>
              </w:rPr>
              <w:t>CPI_Inflation</w:t>
            </w:r>
            <w:proofErr w:type="spellEnd"/>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676050" w14:textId="77777777" w:rsidR="00D576C9" w:rsidRDefault="00000000">
            <w:r>
              <w:rPr>
                <w:color w:val="000000"/>
                <w:sz w:val="20"/>
                <w:szCs w:val="20"/>
              </w:rPr>
              <w:t>Annual % change</w:t>
            </w:r>
          </w:p>
        </w:tc>
        <w:tc>
          <w:tcPr>
            <w:tcW w:w="2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E6C909" w14:textId="77777777" w:rsidR="00D576C9" w:rsidRDefault="00000000">
            <w:r>
              <w:rPr>
                <w:color w:val="000000"/>
                <w:sz w:val="20"/>
                <w:szCs w:val="20"/>
              </w:rPr>
              <w:t>None (levels)</w:t>
            </w:r>
          </w:p>
        </w:tc>
        <w:tc>
          <w:tcPr>
            <w:tcW w:w="2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BB2E5D" w14:textId="77777777" w:rsidR="00D576C9" w:rsidRDefault="00000000">
            <w:r>
              <w:rPr>
                <w:color w:val="000000"/>
                <w:sz w:val="20"/>
                <w:szCs w:val="20"/>
              </w:rPr>
              <w:t>CPI_INFLATION</w:t>
            </w:r>
          </w:p>
        </w:tc>
      </w:tr>
      <w:tr w:rsidR="00D576C9" w14:paraId="06B78ED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F628113" w14:textId="77777777" w:rsidR="00D576C9" w:rsidRDefault="00000000">
            <w:r>
              <w:rPr>
                <w:color w:val="000000"/>
                <w:sz w:val="20"/>
                <w:szCs w:val="20"/>
              </w:rPr>
              <w:t>Money Supply M2</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0FE79C9" w14:textId="77777777" w:rsidR="00D576C9" w:rsidRDefault="00000000">
            <w:r>
              <w:rPr>
                <w:color w:val="000000"/>
                <w:sz w:val="20"/>
                <w:szCs w:val="20"/>
              </w:rPr>
              <w:t>PKR millions</w:t>
            </w:r>
          </w:p>
        </w:tc>
        <w:tc>
          <w:tcPr>
            <w:tcW w:w="2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D930396" w14:textId="77777777" w:rsidR="00D576C9" w:rsidRDefault="00000000">
            <w:proofErr w:type="gramStart"/>
            <w:r>
              <w:rPr>
                <w:color w:val="000000"/>
                <w:sz w:val="20"/>
                <w:szCs w:val="20"/>
              </w:rPr>
              <w:t>log(</w:t>
            </w:r>
            <w:proofErr w:type="gramEnd"/>
            <w:r>
              <w:rPr>
                <w:color w:val="000000"/>
                <w:sz w:val="20"/>
                <w:szCs w:val="20"/>
              </w:rPr>
              <w:t>); then D(</w:t>
            </w:r>
            <w:proofErr w:type="gramStart"/>
            <w:r>
              <w:rPr>
                <w:color w:val="000000"/>
                <w:sz w:val="20"/>
                <w:szCs w:val="20"/>
              </w:rPr>
              <w:t>log())*</w:t>
            </w:r>
            <w:proofErr w:type="gramEnd"/>
            <w:r>
              <w:rPr>
                <w:color w:val="000000"/>
                <w:sz w:val="20"/>
                <w:szCs w:val="20"/>
              </w:rPr>
              <w:t>100</w:t>
            </w:r>
          </w:p>
        </w:tc>
        <w:tc>
          <w:tcPr>
            <w:tcW w:w="2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BFD7D2A" w14:textId="77777777" w:rsidR="00D576C9" w:rsidRDefault="00000000">
            <w:r>
              <w:rPr>
                <w:color w:val="000000"/>
                <w:sz w:val="20"/>
                <w:szCs w:val="20"/>
              </w:rPr>
              <w:t>LOG_M2; M2_GROWTH</w:t>
            </w:r>
          </w:p>
        </w:tc>
      </w:tr>
      <w:tr w:rsidR="00D576C9" w14:paraId="23A73AF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EFE576" w14:textId="77777777" w:rsidR="00D576C9" w:rsidRDefault="00000000">
            <w:r>
              <w:rPr>
                <w:color w:val="000000"/>
                <w:sz w:val="20"/>
                <w:szCs w:val="20"/>
              </w:rPr>
              <w:t>Govt Expenditure</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42B668" w14:textId="77777777" w:rsidR="00D576C9" w:rsidRDefault="00000000">
            <w:r>
              <w:rPr>
                <w:color w:val="000000"/>
                <w:sz w:val="20"/>
                <w:szCs w:val="20"/>
              </w:rPr>
              <w:t>PKR millions</w:t>
            </w:r>
          </w:p>
        </w:tc>
        <w:tc>
          <w:tcPr>
            <w:tcW w:w="2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5CAC1E" w14:textId="77777777" w:rsidR="00D576C9" w:rsidRDefault="00000000">
            <w:proofErr w:type="gramStart"/>
            <w:r>
              <w:rPr>
                <w:color w:val="000000"/>
                <w:sz w:val="20"/>
                <w:szCs w:val="20"/>
              </w:rPr>
              <w:t>log(</w:t>
            </w:r>
            <w:proofErr w:type="gramEnd"/>
            <w:r>
              <w:rPr>
                <w:color w:val="000000"/>
                <w:sz w:val="20"/>
                <w:szCs w:val="20"/>
              </w:rPr>
              <w:t>); then D(</w:t>
            </w:r>
            <w:proofErr w:type="gramStart"/>
            <w:r>
              <w:rPr>
                <w:color w:val="000000"/>
                <w:sz w:val="20"/>
                <w:szCs w:val="20"/>
              </w:rPr>
              <w:t>log())*</w:t>
            </w:r>
            <w:proofErr w:type="gramEnd"/>
            <w:r>
              <w:rPr>
                <w:color w:val="000000"/>
                <w:sz w:val="20"/>
                <w:szCs w:val="20"/>
              </w:rPr>
              <w:t>100</w:t>
            </w:r>
          </w:p>
        </w:tc>
        <w:tc>
          <w:tcPr>
            <w:tcW w:w="2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43C9F2" w14:textId="77777777" w:rsidR="00D576C9" w:rsidRDefault="00000000">
            <w:r>
              <w:rPr>
                <w:color w:val="000000"/>
                <w:sz w:val="20"/>
                <w:szCs w:val="20"/>
              </w:rPr>
              <w:t>LOG_GOVT; GOVT_GROWTH</w:t>
            </w:r>
          </w:p>
        </w:tc>
      </w:tr>
      <w:tr w:rsidR="00D576C9" w14:paraId="15D1489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18D8E03" w14:textId="77777777" w:rsidR="00D576C9" w:rsidRDefault="00000000">
            <w:r>
              <w:rPr>
                <w:color w:val="000000"/>
                <w:sz w:val="20"/>
                <w:szCs w:val="20"/>
              </w:rPr>
              <w:t>Exchange Rate</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E8DEE19" w14:textId="77777777" w:rsidR="00D576C9" w:rsidRDefault="00000000">
            <w:r>
              <w:rPr>
                <w:color w:val="000000"/>
                <w:sz w:val="20"/>
                <w:szCs w:val="20"/>
              </w:rPr>
              <w:t>PKR/USD</w:t>
            </w:r>
          </w:p>
        </w:tc>
        <w:tc>
          <w:tcPr>
            <w:tcW w:w="2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5F3E2DC" w14:textId="77777777" w:rsidR="00D576C9" w:rsidRDefault="00000000">
            <w:proofErr w:type="gramStart"/>
            <w:r>
              <w:rPr>
                <w:color w:val="000000"/>
                <w:sz w:val="20"/>
                <w:szCs w:val="20"/>
              </w:rPr>
              <w:t>log(</w:t>
            </w:r>
            <w:proofErr w:type="gramEnd"/>
            <w:r>
              <w:rPr>
                <w:color w:val="000000"/>
                <w:sz w:val="20"/>
                <w:szCs w:val="20"/>
              </w:rPr>
              <w:t>); then D(</w:t>
            </w:r>
            <w:proofErr w:type="gramStart"/>
            <w:r>
              <w:rPr>
                <w:color w:val="000000"/>
                <w:sz w:val="20"/>
                <w:szCs w:val="20"/>
              </w:rPr>
              <w:t>log())*</w:t>
            </w:r>
            <w:proofErr w:type="gramEnd"/>
            <w:r>
              <w:rPr>
                <w:color w:val="000000"/>
                <w:sz w:val="20"/>
                <w:szCs w:val="20"/>
              </w:rPr>
              <w:t>100</w:t>
            </w:r>
          </w:p>
        </w:tc>
        <w:tc>
          <w:tcPr>
            <w:tcW w:w="2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8531174" w14:textId="77777777" w:rsidR="00D576C9" w:rsidRDefault="00000000">
            <w:r>
              <w:rPr>
                <w:color w:val="000000"/>
                <w:sz w:val="20"/>
                <w:szCs w:val="20"/>
              </w:rPr>
              <w:t>LOG_EX; EX_GROWTH</w:t>
            </w:r>
          </w:p>
        </w:tc>
      </w:tr>
    </w:tbl>
    <w:p w14:paraId="18DB6EBA" w14:textId="77777777" w:rsidR="00D576C9" w:rsidRDefault="00D576C9">
      <w:pPr>
        <w:spacing w:after="120"/>
      </w:pPr>
    </w:p>
    <w:p w14:paraId="3533982F" w14:textId="77777777" w:rsidR="00D576C9" w:rsidRDefault="00000000" w:rsidP="00040581">
      <w:pPr>
        <w:spacing w:before="60" w:after="100" w:line="300" w:lineRule="auto"/>
        <w:jc w:val="both"/>
      </w:pPr>
      <w:r>
        <w:rPr>
          <w:color w:val="595959"/>
        </w:rPr>
        <w:t xml:space="preserve">Visual inspection of the levels series reveals that Money Supply M2 and Government Expenditure grow exponentially over the sample period. Exchange Rate also trends upward persistently, reflecting the long-run depreciation of the PKR. CPI Inflation fluctuates around a positive mean with no clear </w:t>
      </w:r>
      <w:r>
        <w:rPr>
          <w:color w:val="595959"/>
        </w:rPr>
        <w:lastRenderedPageBreak/>
        <w:t>deterministic trend. These patterns motivated the formal stationarity testing procedures described in Section 3.</w:t>
      </w:r>
    </w:p>
    <w:p w14:paraId="176208E9" w14:textId="77777777" w:rsidR="00D576C9" w:rsidRDefault="00D576C9">
      <w:pPr>
        <w:spacing w:after="120"/>
      </w:pPr>
    </w:p>
    <w:p w14:paraId="26FC9136" w14:textId="77777777" w:rsidR="00D576C9" w:rsidRDefault="00000000">
      <w:pPr>
        <w:pStyle w:val="Heading1"/>
        <w:pBdr>
          <w:bottom w:val="single" w:sz="6" w:space="4" w:color="2E75B6"/>
        </w:pBdr>
      </w:pPr>
      <w:r>
        <w:t>3. Unit Root Testing</w:t>
      </w:r>
    </w:p>
    <w:p w14:paraId="425B91CB" w14:textId="77777777" w:rsidR="00D576C9" w:rsidRDefault="00000000">
      <w:pPr>
        <w:pStyle w:val="Heading2"/>
      </w:pPr>
      <w:r>
        <w:t>3.1 Theoretical Framework</w:t>
      </w:r>
    </w:p>
    <w:p w14:paraId="4DF4F608" w14:textId="77777777" w:rsidR="00D576C9" w:rsidRDefault="00000000" w:rsidP="00B463FD">
      <w:pPr>
        <w:spacing w:before="60" w:after="100" w:line="300" w:lineRule="auto"/>
        <w:jc w:val="both"/>
      </w:pPr>
      <w:r>
        <w:rPr>
          <w:color w:val="595959"/>
        </w:rPr>
        <w:t>A time series is covariance-stationary (</w:t>
      </w:r>
      <w:proofErr w:type="gramStart"/>
      <w:r>
        <w:rPr>
          <w:color w:val="595959"/>
        </w:rPr>
        <w:t>I(</w:t>
      </w:r>
      <w:proofErr w:type="gramEnd"/>
      <w:r>
        <w:rPr>
          <w:color w:val="595959"/>
        </w:rPr>
        <w:t>0)) if its mean, variance, and autocovariances are constant over time. A series is integrated of order one (</w:t>
      </w:r>
      <w:proofErr w:type="gramStart"/>
      <w:r>
        <w:rPr>
          <w:color w:val="595959"/>
        </w:rPr>
        <w:t>I(</w:t>
      </w:r>
      <w:proofErr w:type="gramEnd"/>
      <w:r>
        <w:rPr>
          <w:color w:val="595959"/>
        </w:rPr>
        <w:t xml:space="preserve">1)) if it requires first-differencing to achieve stationarity. Regressing one </w:t>
      </w:r>
      <w:proofErr w:type="gramStart"/>
      <w:r>
        <w:rPr>
          <w:color w:val="595959"/>
        </w:rPr>
        <w:t>I(</w:t>
      </w:r>
      <w:proofErr w:type="gramEnd"/>
      <w:r>
        <w:rPr>
          <w:color w:val="595959"/>
        </w:rPr>
        <w:t>1) series on another without accounting for this property produces spurious regression — artificially high R-squared and significant t-statistics that reflect common trending rather than genuine relationships (Granger and Newbold, 1974).</w:t>
      </w:r>
    </w:p>
    <w:p w14:paraId="498F7037" w14:textId="77777777" w:rsidR="00D576C9" w:rsidRDefault="00000000" w:rsidP="00B463FD">
      <w:pPr>
        <w:spacing w:before="60" w:after="100" w:line="300" w:lineRule="auto"/>
        <w:jc w:val="both"/>
      </w:pPr>
      <w:r>
        <w:rPr>
          <w:color w:val="595959"/>
        </w:rPr>
        <w:t xml:space="preserve">The Augmented Dickey-Fuller (ADF) test evaluates H0: the series has a unit root (non-stationary) against H1: the series is stationary. The test statistic follows a non-standard MacKinnon distribution. The KPSS test (Kwiatkowski, Phillips, Schmidt and Shin, 1992) reverses the hypotheses: H0 is stationarity. Using both tests jointly resolves ambiguity — when ADF rejects and KPSS does not reject, stationarity is confirmed; when both agree on non-stationarity, the </w:t>
      </w:r>
      <w:proofErr w:type="gramStart"/>
      <w:r>
        <w:rPr>
          <w:color w:val="595959"/>
        </w:rPr>
        <w:t>I(</w:t>
      </w:r>
      <w:proofErr w:type="gramEnd"/>
      <w:r>
        <w:rPr>
          <w:color w:val="595959"/>
        </w:rPr>
        <w:t>1) classification is robust.</w:t>
      </w:r>
    </w:p>
    <w:p w14:paraId="1ED0C99F" w14:textId="77777777" w:rsidR="00D576C9" w:rsidRDefault="00000000" w:rsidP="00B463FD">
      <w:pPr>
        <w:spacing w:before="60" w:after="100" w:line="300" w:lineRule="auto"/>
        <w:jc w:val="both"/>
      </w:pPr>
      <w:r>
        <w:rPr>
          <w:color w:val="595959"/>
        </w:rPr>
        <w:t>Note: Paper citations above are included as standard references commonly attributed to these tests. The reader is advised to verify exact details against primary sources.</w:t>
      </w:r>
    </w:p>
    <w:p w14:paraId="4AD391DB" w14:textId="77777777" w:rsidR="00D576C9" w:rsidRDefault="00000000">
      <w:pPr>
        <w:pStyle w:val="Heading2"/>
      </w:pPr>
      <w:r>
        <w:t>3.2 Specification Choices</w:t>
      </w:r>
    </w:p>
    <w:p w14:paraId="318F6822" w14:textId="77777777" w:rsidR="00D576C9" w:rsidRDefault="00000000" w:rsidP="00B463FD">
      <w:pPr>
        <w:spacing w:before="60" w:after="100" w:line="300" w:lineRule="auto"/>
        <w:jc w:val="both"/>
      </w:pPr>
      <w:r>
        <w:rPr>
          <w:color w:val="595959"/>
        </w:rPr>
        <w:t>For series exhibiting a visible deterministic trend in levels (LOG_M2, LOG_GOVT, LOG_EX), the ADF test was specified with a constant and linear trend. For CPI_INFLATION, which fluctuates around a level with no clear trend, a constant-only specification was used. For first-difference tests, constant-only was applied throughout, as differencing removes deterministic trends. Lag lengths were selected automatically using the Schwarz Information Criterion (SIC) with a maximum of 10 lags.</w:t>
      </w:r>
    </w:p>
    <w:p w14:paraId="659AB791" w14:textId="77777777" w:rsidR="00D576C9" w:rsidRDefault="00000000" w:rsidP="00B463FD">
      <w:pPr>
        <w:spacing w:before="60" w:after="100" w:line="300" w:lineRule="auto"/>
        <w:jc w:val="both"/>
        <w:rPr>
          <w:color w:val="595959"/>
        </w:rPr>
      </w:pPr>
      <w:r>
        <w:rPr>
          <w:color w:val="595959"/>
        </w:rPr>
        <w:t>The log transformation was applied to M2, Govt Expenditure, and Exchange Rate prior to testing. Direct testing of M2 levels (without logging) produced an ADF statistic of +7.83 — indicating an explosive rather than unit-root process — because exponential growth in levels is not adequately handled by a linear trend term. Log transformation converts exponential growth to approximately linear growth, making standard ADF inference valid.</w:t>
      </w:r>
    </w:p>
    <w:p w14:paraId="4201E320" w14:textId="77777777" w:rsidR="00B463FD" w:rsidRDefault="00B463FD" w:rsidP="00B463FD">
      <w:pPr>
        <w:spacing w:before="60" w:after="100" w:line="300" w:lineRule="auto"/>
        <w:jc w:val="both"/>
        <w:rPr>
          <w:color w:val="595959"/>
        </w:rPr>
      </w:pPr>
    </w:p>
    <w:p w14:paraId="23687ACB" w14:textId="77777777" w:rsidR="00B463FD" w:rsidRDefault="00B463FD" w:rsidP="00B463FD">
      <w:pPr>
        <w:spacing w:before="60" w:after="100" w:line="300" w:lineRule="auto"/>
        <w:jc w:val="both"/>
        <w:rPr>
          <w:color w:val="595959"/>
        </w:rPr>
      </w:pPr>
    </w:p>
    <w:p w14:paraId="588FA58E" w14:textId="77777777" w:rsidR="00B463FD" w:rsidRDefault="00B463FD" w:rsidP="00B463FD">
      <w:pPr>
        <w:spacing w:before="60" w:after="100" w:line="300" w:lineRule="auto"/>
        <w:jc w:val="both"/>
        <w:rPr>
          <w:color w:val="595959"/>
        </w:rPr>
      </w:pPr>
    </w:p>
    <w:p w14:paraId="395BA1C0" w14:textId="77777777" w:rsidR="00B463FD" w:rsidRDefault="00B463FD" w:rsidP="00B463FD">
      <w:pPr>
        <w:spacing w:before="60" w:after="100" w:line="300" w:lineRule="auto"/>
        <w:jc w:val="both"/>
        <w:rPr>
          <w:color w:val="595959"/>
        </w:rPr>
      </w:pPr>
    </w:p>
    <w:p w14:paraId="753A580F" w14:textId="77777777" w:rsidR="00B463FD" w:rsidRDefault="00B463FD" w:rsidP="00B463FD">
      <w:pPr>
        <w:spacing w:before="60" w:after="100" w:line="300" w:lineRule="auto"/>
        <w:jc w:val="both"/>
      </w:pPr>
    </w:p>
    <w:p w14:paraId="7B811FFF" w14:textId="77777777" w:rsidR="00D576C9" w:rsidRDefault="00000000">
      <w:pPr>
        <w:pStyle w:val="Heading2"/>
      </w:pPr>
      <w:r>
        <w:lastRenderedPageBreak/>
        <w:t>3.3 Results</w:t>
      </w:r>
    </w:p>
    <w:p w14:paraId="23B5702D" w14:textId="77777777" w:rsidR="00D576C9" w:rsidRDefault="00D576C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0"/>
        <w:gridCol w:w="1139"/>
        <w:gridCol w:w="1115"/>
        <w:gridCol w:w="1055"/>
        <w:gridCol w:w="1115"/>
        <w:gridCol w:w="1008"/>
        <w:gridCol w:w="1055"/>
        <w:gridCol w:w="1143"/>
      </w:tblGrid>
      <w:tr w:rsidR="00D576C9" w14:paraId="40ADA773" w14:textId="77777777">
        <w:tblPrEx>
          <w:tblCellMar>
            <w:top w:w="0" w:type="dxa"/>
            <w:bottom w:w="0" w:type="dxa"/>
          </w:tblCellMar>
        </w:tblPrEx>
        <w:trPr>
          <w:tblHeader/>
        </w:trPr>
        <w:tc>
          <w:tcPr>
            <w:tcW w:w="1560" w:type="dxa"/>
            <w:tcBorders>
              <w:top w:val="single" w:sz="4" w:space="0" w:color="2E75B6"/>
              <w:left w:val="single" w:sz="1" w:space="0" w:color="AAAAAA"/>
              <w:bottom w:val="single" w:sz="4" w:space="0" w:color="2E75B6"/>
              <w:right w:val="single" w:sz="1" w:space="0" w:color="AAAAAA"/>
            </w:tcBorders>
            <w:shd w:val="clear" w:color="auto" w:fill="1F4E79"/>
            <w:tcMar>
              <w:top w:w="80" w:type="dxa"/>
              <w:left w:w="120" w:type="dxa"/>
              <w:bottom w:w="80" w:type="dxa"/>
              <w:right w:w="120" w:type="dxa"/>
            </w:tcMar>
            <w:vAlign w:val="center"/>
          </w:tcPr>
          <w:p w14:paraId="029D2F9D" w14:textId="77777777" w:rsidR="00D576C9" w:rsidRDefault="00000000">
            <w:r>
              <w:rPr>
                <w:b/>
                <w:bCs/>
                <w:color w:val="FFFFFF"/>
                <w:sz w:val="20"/>
                <w:szCs w:val="20"/>
              </w:rPr>
              <w:t>Series</w:t>
            </w:r>
          </w:p>
        </w:tc>
        <w:tc>
          <w:tcPr>
            <w:tcW w:w="1400" w:type="dxa"/>
            <w:tcBorders>
              <w:top w:val="single" w:sz="4" w:space="0" w:color="2E75B6"/>
              <w:left w:val="single" w:sz="1" w:space="0" w:color="AAAAAA"/>
              <w:bottom w:val="single" w:sz="4" w:space="0" w:color="2E75B6"/>
              <w:right w:val="single" w:sz="1" w:space="0" w:color="AAAAAA"/>
            </w:tcBorders>
            <w:shd w:val="clear" w:color="auto" w:fill="1F4E79"/>
            <w:tcMar>
              <w:top w:w="80" w:type="dxa"/>
              <w:left w:w="120" w:type="dxa"/>
              <w:bottom w:w="80" w:type="dxa"/>
              <w:right w:w="120" w:type="dxa"/>
            </w:tcMar>
            <w:vAlign w:val="center"/>
          </w:tcPr>
          <w:p w14:paraId="63385587" w14:textId="77777777" w:rsidR="00D576C9" w:rsidRDefault="00000000">
            <w:r>
              <w:rPr>
                <w:b/>
                <w:bCs/>
                <w:color w:val="FFFFFF"/>
                <w:sz w:val="20"/>
                <w:szCs w:val="20"/>
              </w:rPr>
              <w:t>ADF Spec.</w:t>
            </w:r>
          </w:p>
        </w:tc>
        <w:tc>
          <w:tcPr>
            <w:tcW w:w="1200" w:type="dxa"/>
            <w:tcBorders>
              <w:top w:val="single" w:sz="4" w:space="0" w:color="2E75B6"/>
              <w:left w:val="single" w:sz="1" w:space="0" w:color="AAAAAA"/>
              <w:bottom w:val="single" w:sz="4" w:space="0" w:color="2E75B6"/>
              <w:right w:val="single" w:sz="1" w:space="0" w:color="AAAAAA"/>
            </w:tcBorders>
            <w:shd w:val="clear" w:color="auto" w:fill="1F4E79"/>
            <w:tcMar>
              <w:top w:w="80" w:type="dxa"/>
              <w:left w:w="120" w:type="dxa"/>
              <w:bottom w:w="80" w:type="dxa"/>
              <w:right w:w="120" w:type="dxa"/>
            </w:tcMar>
            <w:vAlign w:val="center"/>
          </w:tcPr>
          <w:p w14:paraId="0335FE6E" w14:textId="77777777" w:rsidR="00D576C9" w:rsidRDefault="00000000">
            <w:r>
              <w:rPr>
                <w:b/>
                <w:bCs/>
                <w:color w:val="FFFFFF"/>
                <w:sz w:val="20"/>
                <w:szCs w:val="20"/>
              </w:rPr>
              <w:t>ADF (Levels)</w:t>
            </w:r>
          </w:p>
        </w:tc>
        <w:tc>
          <w:tcPr>
            <w:tcW w:w="1200" w:type="dxa"/>
            <w:tcBorders>
              <w:top w:val="single" w:sz="4" w:space="0" w:color="2E75B6"/>
              <w:left w:val="single" w:sz="1" w:space="0" w:color="AAAAAA"/>
              <w:bottom w:val="single" w:sz="4" w:space="0" w:color="2E75B6"/>
              <w:right w:val="single" w:sz="1" w:space="0" w:color="AAAAAA"/>
            </w:tcBorders>
            <w:shd w:val="clear" w:color="auto" w:fill="1F4E79"/>
            <w:tcMar>
              <w:top w:w="80" w:type="dxa"/>
              <w:left w:w="120" w:type="dxa"/>
              <w:bottom w:w="80" w:type="dxa"/>
              <w:right w:w="120" w:type="dxa"/>
            </w:tcMar>
            <w:vAlign w:val="center"/>
          </w:tcPr>
          <w:p w14:paraId="496E7908" w14:textId="77777777" w:rsidR="00D576C9" w:rsidRDefault="00000000">
            <w:r>
              <w:rPr>
                <w:b/>
                <w:bCs/>
                <w:color w:val="FFFFFF"/>
                <w:sz w:val="20"/>
                <w:szCs w:val="20"/>
              </w:rPr>
              <w:t>p-value</w:t>
            </w:r>
          </w:p>
        </w:tc>
        <w:tc>
          <w:tcPr>
            <w:tcW w:w="1200" w:type="dxa"/>
            <w:tcBorders>
              <w:top w:val="single" w:sz="4" w:space="0" w:color="2E75B6"/>
              <w:left w:val="single" w:sz="1" w:space="0" w:color="AAAAAA"/>
              <w:bottom w:val="single" w:sz="4" w:space="0" w:color="2E75B6"/>
              <w:right w:val="single" w:sz="1" w:space="0" w:color="AAAAAA"/>
            </w:tcBorders>
            <w:shd w:val="clear" w:color="auto" w:fill="1F4E79"/>
            <w:tcMar>
              <w:top w:w="80" w:type="dxa"/>
              <w:left w:w="120" w:type="dxa"/>
              <w:bottom w:w="80" w:type="dxa"/>
              <w:right w:w="120" w:type="dxa"/>
            </w:tcMar>
            <w:vAlign w:val="center"/>
          </w:tcPr>
          <w:p w14:paraId="2E261528" w14:textId="77777777" w:rsidR="00D576C9" w:rsidRDefault="00000000">
            <w:r>
              <w:rPr>
                <w:b/>
                <w:bCs/>
                <w:color w:val="FFFFFF"/>
                <w:sz w:val="20"/>
                <w:szCs w:val="20"/>
              </w:rPr>
              <w:t>KPSS (Levels)</w:t>
            </w:r>
          </w:p>
        </w:tc>
        <w:tc>
          <w:tcPr>
            <w:tcW w:w="1200" w:type="dxa"/>
            <w:tcBorders>
              <w:top w:val="single" w:sz="4" w:space="0" w:color="2E75B6"/>
              <w:left w:val="single" w:sz="1" w:space="0" w:color="AAAAAA"/>
              <w:bottom w:val="single" w:sz="4" w:space="0" w:color="2E75B6"/>
              <w:right w:val="single" w:sz="1" w:space="0" w:color="AAAAAA"/>
            </w:tcBorders>
            <w:shd w:val="clear" w:color="auto" w:fill="1F4E79"/>
            <w:tcMar>
              <w:top w:w="80" w:type="dxa"/>
              <w:left w:w="120" w:type="dxa"/>
              <w:bottom w:w="80" w:type="dxa"/>
              <w:right w:w="120" w:type="dxa"/>
            </w:tcMar>
            <w:vAlign w:val="center"/>
          </w:tcPr>
          <w:p w14:paraId="06066392" w14:textId="77777777" w:rsidR="00D576C9" w:rsidRDefault="00000000">
            <w:r>
              <w:rPr>
                <w:b/>
                <w:bCs/>
                <w:color w:val="FFFFFF"/>
                <w:sz w:val="20"/>
                <w:szCs w:val="20"/>
              </w:rPr>
              <w:t>ADF (1st Diff)</w:t>
            </w:r>
          </w:p>
        </w:tc>
        <w:tc>
          <w:tcPr>
            <w:tcW w:w="1200" w:type="dxa"/>
            <w:tcBorders>
              <w:top w:val="single" w:sz="4" w:space="0" w:color="2E75B6"/>
              <w:left w:val="single" w:sz="1" w:space="0" w:color="AAAAAA"/>
              <w:bottom w:val="single" w:sz="4" w:space="0" w:color="2E75B6"/>
              <w:right w:val="single" w:sz="1" w:space="0" w:color="AAAAAA"/>
            </w:tcBorders>
            <w:shd w:val="clear" w:color="auto" w:fill="1F4E79"/>
            <w:tcMar>
              <w:top w:w="80" w:type="dxa"/>
              <w:left w:w="120" w:type="dxa"/>
              <w:bottom w:w="80" w:type="dxa"/>
              <w:right w:w="120" w:type="dxa"/>
            </w:tcMar>
            <w:vAlign w:val="center"/>
          </w:tcPr>
          <w:p w14:paraId="3E2688D1" w14:textId="77777777" w:rsidR="00D576C9" w:rsidRDefault="00000000">
            <w:r>
              <w:rPr>
                <w:b/>
                <w:bCs/>
                <w:color w:val="FFFFFF"/>
                <w:sz w:val="20"/>
                <w:szCs w:val="20"/>
              </w:rPr>
              <w:t>p-value</w:t>
            </w:r>
          </w:p>
        </w:tc>
        <w:tc>
          <w:tcPr>
            <w:tcW w:w="1400" w:type="dxa"/>
            <w:tcBorders>
              <w:top w:val="single" w:sz="4" w:space="0" w:color="2E75B6"/>
              <w:left w:val="single" w:sz="1" w:space="0" w:color="AAAAAA"/>
              <w:bottom w:val="single" w:sz="4" w:space="0" w:color="2E75B6"/>
              <w:right w:val="single" w:sz="1" w:space="0" w:color="AAAAAA"/>
            </w:tcBorders>
            <w:shd w:val="clear" w:color="auto" w:fill="1F4E79"/>
            <w:tcMar>
              <w:top w:w="80" w:type="dxa"/>
              <w:left w:w="120" w:type="dxa"/>
              <w:bottom w:w="80" w:type="dxa"/>
              <w:right w:w="120" w:type="dxa"/>
            </w:tcMar>
            <w:vAlign w:val="center"/>
          </w:tcPr>
          <w:p w14:paraId="675B9D47" w14:textId="77777777" w:rsidR="00D576C9" w:rsidRDefault="00000000">
            <w:r>
              <w:rPr>
                <w:b/>
                <w:bCs/>
                <w:color w:val="FFFFFF"/>
                <w:sz w:val="20"/>
                <w:szCs w:val="20"/>
              </w:rPr>
              <w:t>Order</w:t>
            </w:r>
          </w:p>
        </w:tc>
      </w:tr>
      <w:tr w:rsidR="00D576C9" w14:paraId="794F1A01"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FDCDE1" w14:textId="77777777" w:rsidR="00D576C9" w:rsidRDefault="00000000">
            <w:r>
              <w:rPr>
                <w:color w:val="000000"/>
                <w:sz w:val="20"/>
                <w:szCs w:val="20"/>
              </w:rPr>
              <w:t>LOG_M2</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D0082F" w14:textId="77777777" w:rsidR="00D576C9" w:rsidRDefault="00000000">
            <w:r>
              <w:rPr>
                <w:color w:val="000000"/>
                <w:sz w:val="20"/>
                <w:szCs w:val="20"/>
              </w:rPr>
              <w:t>C + Trend</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D6A593" w14:textId="77777777" w:rsidR="00D576C9" w:rsidRDefault="00000000">
            <w:pPr>
              <w:jc w:val="center"/>
            </w:pPr>
            <w:r>
              <w:rPr>
                <w:color w:val="000000"/>
                <w:sz w:val="20"/>
                <w:szCs w:val="20"/>
              </w:rPr>
              <w:t>-2.176</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B9AE293" w14:textId="77777777" w:rsidR="00D576C9" w:rsidRDefault="00000000">
            <w:pPr>
              <w:jc w:val="center"/>
            </w:pPr>
            <w:r>
              <w:rPr>
                <w:color w:val="000000"/>
                <w:sz w:val="20"/>
                <w:szCs w:val="20"/>
              </w:rPr>
              <w:t>0.4918</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FF30A01" w14:textId="77777777" w:rsidR="00D576C9" w:rsidRDefault="00000000">
            <w:pPr>
              <w:jc w:val="center"/>
            </w:pPr>
            <w:r>
              <w:rPr>
                <w:color w:val="000000"/>
                <w:sz w:val="20"/>
                <w:szCs w:val="20"/>
              </w:rPr>
              <w: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D391B9" w14:textId="77777777" w:rsidR="00D576C9" w:rsidRDefault="00000000">
            <w:pPr>
              <w:jc w:val="center"/>
            </w:pPr>
            <w:r>
              <w:rPr>
                <w:color w:val="000000"/>
                <w:sz w:val="20"/>
                <w:szCs w:val="20"/>
              </w:rPr>
              <w:t>-5.415</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8A1303" w14:textId="77777777" w:rsidR="00D576C9" w:rsidRDefault="00000000">
            <w:pPr>
              <w:jc w:val="center"/>
            </w:pPr>
            <w:r>
              <w:rPr>
                <w:color w:val="000000"/>
                <w:sz w:val="20"/>
                <w:szCs w:val="20"/>
              </w:rPr>
              <w:t>0.0000</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084BC2" w14:textId="77777777" w:rsidR="00D576C9" w:rsidRDefault="00000000">
            <w:pPr>
              <w:jc w:val="center"/>
            </w:pPr>
            <w:proofErr w:type="gramStart"/>
            <w:r>
              <w:rPr>
                <w:b/>
                <w:bCs/>
                <w:color w:val="000000"/>
                <w:sz w:val="20"/>
                <w:szCs w:val="20"/>
              </w:rPr>
              <w:t>I(</w:t>
            </w:r>
            <w:proofErr w:type="gramEnd"/>
            <w:r>
              <w:rPr>
                <w:b/>
                <w:bCs/>
                <w:color w:val="000000"/>
                <w:sz w:val="20"/>
                <w:szCs w:val="20"/>
              </w:rPr>
              <w:t>1)</w:t>
            </w:r>
          </w:p>
        </w:tc>
      </w:tr>
      <w:tr w:rsidR="00D576C9" w14:paraId="4FF8105B"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AA591F8" w14:textId="77777777" w:rsidR="00D576C9" w:rsidRDefault="00000000">
            <w:r>
              <w:rPr>
                <w:color w:val="000000"/>
                <w:sz w:val="20"/>
                <w:szCs w:val="20"/>
              </w:rPr>
              <w:t>LOG_GOVT</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CDDCFCD" w14:textId="77777777" w:rsidR="00D576C9" w:rsidRDefault="00000000">
            <w:r>
              <w:rPr>
                <w:color w:val="000000"/>
                <w:sz w:val="20"/>
                <w:szCs w:val="20"/>
              </w:rPr>
              <w:t>C + Trend</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479DD38" w14:textId="77777777" w:rsidR="00D576C9" w:rsidRDefault="00000000">
            <w:pPr>
              <w:jc w:val="center"/>
            </w:pPr>
            <w:r>
              <w:rPr>
                <w:color w:val="000000"/>
                <w:sz w:val="20"/>
                <w:szCs w:val="20"/>
              </w:rPr>
              <w:t>-1.798</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22856A2" w14:textId="77777777" w:rsidR="00D576C9" w:rsidRDefault="00000000">
            <w:pPr>
              <w:jc w:val="center"/>
            </w:pPr>
            <w:r>
              <w:rPr>
                <w:color w:val="000000"/>
                <w:sz w:val="20"/>
                <w:szCs w:val="20"/>
              </w:rPr>
              <w:t>0.6885</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0903B8E" w14:textId="77777777" w:rsidR="00D576C9" w:rsidRDefault="00000000">
            <w:pPr>
              <w:jc w:val="center"/>
            </w:pPr>
            <w:r>
              <w:rPr>
                <w:color w:val="000000"/>
                <w:sz w:val="20"/>
                <w:szCs w:val="20"/>
              </w:rPr>
              <w:t>—</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8495AA1" w14:textId="77777777" w:rsidR="00D576C9" w:rsidRDefault="00000000">
            <w:pPr>
              <w:jc w:val="center"/>
            </w:pPr>
            <w:r>
              <w:rPr>
                <w:color w:val="000000"/>
                <w:sz w:val="20"/>
                <w:szCs w:val="20"/>
              </w:rPr>
              <w:t>-6.135</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1269420" w14:textId="77777777" w:rsidR="00D576C9" w:rsidRDefault="00000000">
            <w:pPr>
              <w:jc w:val="center"/>
            </w:pPr>
            <w:r>
              <w:rPr>
                <w:color w:val="000000"/>
                <w:sz w:val="20"/>
                <w:szCs w:val="20"/>
              </w:rPr>
              <w:t>0.0000</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00D796C" w14:textId="77777777" w:rsidR="00D576C9" w:rsidRDefault="00000000">
            <w:pPr>
              <w:jc w:val="center"/>
            </w:pPr>
            <w:proofErr w:type="gramStart"/>
            <w:r>
              <w:rPr>
                <w:b/>
                <w:bCs/>
                <w:color w:val="000000"/>
                <w:sz w:val="20"/>
                <w:szCs w:val="20"/>
              </w:rPr>
              <w:t>I(</w:t>
            </w:r>
            <w:proofErr w:type="gramEnd"/>
            <w:r>
              <w:rPr>
                <w:b/>
                <w:bCs/>
                <w:color w:val="000000"/>
                <w:sz w:val="20"/>
                <w:szCs w:val="20"/>
              </w:rPr>
              <w:t>1)</w:t>
            </w:r>
          </w:p>
        </w:tc>
      </w:tr>
      <w:tr w:rsidR="00D576C9" w14:paraId="6926F60F"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985117" w14:textId="77777777" w:rsidR="00D576C9" w:rsidRDefault="00000000">
            <w:r>
              <w:rPr>
                <w:color w:val="000000"/>
                <w:sz w:val="20"/>
                <w:szCs w:val="20"/>
              </w:rPr>
              <w:t>LOG_EX</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6BDDFC" w14:textId="77777777" w:rsidR="00D576C9" w:rsidRDefault="00000000">
            <w:r>
              <w:rPr>
                <w:color w:val="000000"/>
                <w:sz w:val="20"/>
                <w:szCs w:val="20"/>
              </w:rPr>
              <w:t>C + Trend</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52FE57E" w14:textId="77777777" w:rsidR="00D576C9" w:rsidRDefault="00000000">
            <w:pPr>
              <w:jc w:val="center"/>
            </w:pPr>
            <w:r>
              <w:rPr>
                <w:color w:val="000000"/>
                <w:sz w:val="20"/>
                <w:szCs w:val="20"/>
              </w:rPr>
              <w:t>-3.778*</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83B731" w14:textId="77777777" w:rsidR="00D576C9" w:rsidRDefault="00000000">
            <w:pPr>
              <w:jc w:val="center"/>
            </w:pPr>
            <w:r>
              <w:rPr>
                <w:color w:val="000000"/>
                <w:sz w:val="20"/>
                <w:szCs w:val="20"/>
              </w:rPr>
              <w:t>0.0261</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1790EA" w14:textId="77777777" w:rsidR="00D576C9" w:rsidRDefault="00000000">
            <w:pPr>
              <w:jc w:val="center"/>
            </w:pPr>
            <w:r>
              <w:rPr>
                <w:color w:val="000000"/>
                <w:sz w:val="20"/>
                <w:szCs w:val="20"/>
              </w:rPr>
              <w:t>0.094</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1F511A" w14:textId="77777777" w:rsidR="00D576C9" w:rsidRDefault="00000000">
            <w:pPr>
              <w:jc w:val="center"/>
            </w:pPr>
            <w:r>
              <w:rPr>
                <w:color w:val="000000"/>
                <w:sz w:val="20"/>
                <w:szCs w:val="20"/>
              </w:rPr>
              <w:t>-8.278</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772219" w14:textId="77777777" w:rsidR="00D576C9" w:rsidRDefault="00000000">
            <w:pPr>
              <w:jc w:val="center"/>
            </w:pPr>
            <w:r>
              <w:rPr>
                <w:color w:val="000000"/>
                <w:sz w:val="20"/>
                <w:szCs w:val="20"/>
              </w:rPr>
              <w:t>0.0000</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63CFC8" w14:textId="77777777" w:rsidR="00D576C9" w:rsidRDefault="00000000">
            <w:pPr>
              <w:jc w:val="center"/>
            </w:pPr>
            <w:proofErr w:type="gramStart"/>
            <w:r>
              <w:rPr>
                <w:b/>
                <w:bCs/>
                <w:color w:val="000000"/>
                <w:sz w:val="20"/>
                <w:szCs w:val="20"/>
              </w:rPr>
              <w:t>I(</w:t>
            </w:r>
            <w:proofErr w:type="gramEnd"/>
            <w:r>
              <w:rPr>
                <w:b/>
                <w:bCs/>
                <w:color w:val="000000"/>
                <w:sz w:val="20"/>
                <w:szCs w:val="20"/>
              </w:rPr>
              <w:t>1)</w:t>
            </w:r>
          </w:p>
        </w:tc>
      </w:tr>
      <w:tr w:rsidR="00D576C9" w14:paraId="7945E1C0"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6BA8574" w14:textId="77777777" w:rsidR="00D576C9" w:rsidRDefault="00000000">
            <w:r>
              <w:rPr>
                <w:color w:val="000000"/>
                <w:sz w:val="20"/>
                <w:szCs w:val="20"/>
              </w:rPr>
              <w:t>CPI_INFLATION</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C9E6B1E" w14:textId="77777777" w:rsidR="00D576C9" w:rsidRDefault="00000000">
            <w:r>
              <w:rPr>
                <w:color w:val="000000"/>
                <w:sz w:val="20"/>
                <w:szCs w:val="20"/>
              </w:rPr>
              <w:t>C only</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4800550" w14:textId="77777777" w:rsidR="00D576C9" w:rsidRDefault="00000000">
            <w:pPr>
              <w:jc w:val="center"/>
            </w:pPr>
            <w:r>
              <w:rPr>
                <w:color w:val="000000"/>
                <w:sz w:val="20"/>
                <w:szCs w:val="20"/>
              </w:rPr>
              <w:t>-3.447*</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E58965F" w14:textId="77777777" w:rsidR="00D576C9" w:rsidRDefault="00000000">
            <w:pPr>
              <w:jc w:val="center"/>
            </w:pPr>
            <w:r>
              <w:rPr>
                <w:color w:val="000000"/>
                <w:sz w:val="20"/>
                <w:szCs w:val="20"/>
              </w:rPr>
              <w:t>0.0138</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78D78DB" w14:textId="77777777" w:rsidR="00D576C9" w:rsidRDefault="00000000">
            <w:pPr>
              <w:jc w:val="center"/>
            </w:pPr>
            <w:r>
              <w:rPr>
                <w:color w:val="000000"/>
                <w:sz w:val="20"/>
                <w:szCs w:val="20"/>
              </w:rPr>
              <w:t>0.136</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96221D5" w14:textId="77777777" w:rsidR="00D576C9" w:rsidRDefault="00000000">
            <w:pPr>
              <w:jc w:val="center"/>
            </w:pPr>
            <w:r>
              <w:rPr>
                <w:color w:val="000000"/>
                <w:sz w:val="20"/>
                <w:szCs w:val="20"/>
              </w:rPr>
              <w:t>-6.862</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4B8ABAA" w14:textId="77777777" w:rsidR="00D576C9" w:rsidRDefault="00000000">
            <w:pPr>
              <w:jc w:val="center"/>
            </w:pPr>
            <w:r>
              <w:rPr>
                <w:color w:val="000000"/>
                <w:sz w:val="20"/>
                <w:szCs w:val="20"/>
              </w:rPr>
              <w:t>0.0000</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B9E76F2" w14:textId="77777777" w:rsidR="00D576C9" w:rsidRDefault="00000000">
            <w:pPr>
              <w:jc w:val="center"/>
            </w:pPr>
            <w:proofErr w:type="gramStart"/>
            <w:r>
              <w:rPr>
                <w:b/>
                <w:bCs/>
                <w:color w:val="000000"/>
                <w:sz w:val="20"/>
                <w:szCs w:val="20"/>
              </w:rPr>
              <w:t>I(0)*</w:t>
            </w:r>
            <w:proofErr w:type="gramEnd"/>
            <w:r>
              <w:rPr>
                <w:b/>
                <w:bCs/>
                <w:color w:val="000000"/>
                <w:sz w:val="20"/>
                <w:szCs w:val="20"/>
              </w:rPr>
              <w:t>*</w:t>
            </w:r>
          </w:p>
        </w:tc>
      </w:tr>
    </w:tbl>
    <w:p w14:paraId="08F279AA" w14:textId="77777777" w:rsidR="00D576C9" w:rsidRDefault="00D576C9" w:rsidP="00B463FD">
      <w:pPr>
        <w:spacing w:after="100"/>
        <w:jc w:val="both"/>
      </w:pPr>
    </w:p>
    <w:p w14:paraId="59322C6C" w14:textId="77777777" w:rsidR="00D576C9" w:rsidRDefault="00000000" w:rsidP="00B463FD">
      <w:pPr>
        <w:spacing w:before="60" w:after="100" w:line="300" w:lineRule="auto"/>
        <w:jc w:val="both"/>
      </w:pPr>
      <w:r>
        <w:rPr>
          <w:color w:val="595959"/>
        </w:rPr>
        <w:t>* Rejects H0 at 5% but not 1%. Borderline result — KPSS cross-check applied.</w:t>
      </w:r>
    </w:p>
    <w:p w14:paraId="74DF17E1" w14:textId="77777777" w:rsidR="00D576C9" w:rsidRDefault="00000000" w:rsidP="00B463FD">
      <w:pPr>
        <w:spacing w:before="60" w:after="100" w:line="300" w:lineRule="auto"/>
        <w:jc w:val="both"/>
      </w:pPr>
      <w:r>
        <w:rPr>
          <w:color w:val="595959"/>
        </w:rPr>
        <w:t xml:space="preserve">** CPI_INFLATION: ADF rejects at 5% (p=0.0138); KPSS statistic 0.136 is below the 10% critical value of 0.347, confirming stationarity. Classified as </w:t>
      </w:r>
      <w:proofErr w:type="gramStart"/>
      <w:r>
        <w:rPr>
          <w:color w:val="595959"/>
        </w:rPr>
        <w:t>I(</w:t>
      </w:r>
      <w:proofErr w:type="gramEnd"/>
      <w:r>
        <w:rPr>
          <w:color w:val="595959"/>
        </w:rPr>
        <w:t>0).</w:t>
      </w:r>
    </w:p>
    <w:p w14:paraId="2DA3FB1D" w14:textId="77777777" w:rsidR="00D576C9" w:rsidRDefault="00D576C9" w:rsidP="00B463FD">
      <w:pPr>
        <w:spacing w:after="80"/>
        <w:jc w:val="both"/>
      </w:pPr>
    </w:p>
    <w:p w14:paraId="06E5626D" w14:textId="77777777" w:rsidR="00D576C9" w:rsidRDefault="00000000" w:rsidP="00B463FD">
      <w:pPr>
        <w:spacing w:before="60" w:after="100" w:line="300" w:lineRule="auto"/>
        <w:jc w:val="both"/>
      </w:pPr>
      <w:r>
        <w:rPr>
          <w:color w:val="595959"/>
        </w:rPr>
        <w:t xml:space="preserve">LOG_EX presents a borderline case: ADF rejects at 5% but not 1%, while KPSS (0.094) falls below even the 10% critical value (0.119 for trend specification), indicating trend-stationarity. Given that the PKR has depreciated persistently and the series is stationary around a deterministic trend once that trend is accounted for, LOG_EX is classified as </w:t>
      </w:r>
      <w:proofErr w:type="gramStart"/>
      <w:r>
        <w:rPr>
          <w:color w:val="595959"/>
        </w:rPr>
        <w:t>I(</w:t>
      </w:r>
      <w:proofErr w:type="gramEnd"/>
      <w:r>
        <w:rPr>
          <w:color w:val="595959"/>
        </w:rPr>
        <w:t>1) for consistency with the standard treatment in Pakistani macro literature.</w:t>
      </w:r>
    </w:p>
    <w:p w14:paraId="28FDAFBD" w14:textId="77777777" w:rsidR="00D576C9" w:rsidRDefault="00000000" w:rsidP="00B463FD">
      <w:pPr>
        <w:spacing w:before="60" w:after="100" w:line="300" w:lineRule="auto"/>
        <w:jc w:val="both"/>
      </w:pPr>
      <w:r>
        <w:rPr>
          <w:color w:val="595959"/>
        </w:rPr>
        <w:t xml:space="preserve">The key finding is a mixed order of integration: LOG_M2 and LOG_GOVT are unambiguously </w:t>
      </w:r>
      <w:proofErr w:type="gramStart"/>
      <w:r>
        <w:rPr>
          <w:color w:val="595959"/>
        </w:rPr>
        <w:t>I(</w:t>
      </w:r>
      <w:proofErr w:type="gramEnd"/>
      <w:r>
        <w:rPr>
          <w:color w:val="595959"/>
        </w:rPr>
        <w:t xml:space="preserve">1), while CPI_INFLATION is </w:t>
      </w:r>
      <w:proofErr w:type="gramStart"/>
      <w:r>
        <w:rPr>
          <w:color w:val="595959"/>
        </w:rPr>
        <w:t>I(</w:t>
      </w:r>
      <w:proofErr w:type="gramEnd"/>
      <w:r>
        <w:rPr>
          <w:color w:val="595959"/>
        </w:rPr>
        <w:t xml:space="preserve">0). This finding has direct implications for model specification — standard OLS in levels is inappropriate for </w:t>
      </w:r>
      <w:proofErr w:type="gramStart"/>
      <w:r>
        <w:rPr>
          <w:color w:val="595959"/>
        </w:rPr>
        <w:t>I(</w:t>
      </w:r>
      <w:proofErr w:type="gramEnd"/>
      <w:r>
        <w:rPr>
          <w:color w:val="595959"/>
        </w:rPr>
        <w:t>1) series, and cointegration testing requires variables of the same integration order.</w:t>
      </w:r>
    </w:p>
    <w:p w14:paraId="274BABB8" w14:textId="77777777" w:rsidR="00D576C9" w:rsidRDefault="00D576C9">
      <w:pPr>
        <w:spacing w:after="120"/>
      </w:pPr>
    </w:p>
    <w:p w14:paraId="1D078551" w14:textId="77777777" w:rsidR="00D576C9" w:rsidRDefault="00000000">
      <w:pPr>
        <w:pStyle w:val="Heading1"/>
        <w:pBdr>
          <w:bottom w:val="single" w:sz="6" w:space="4" w:color="2E75B6"/>
        </w:pBdr>
      </w:pPr>
      <w:r>
        <w:t>4. Cointegration Analysis</w:t>
      </w:r>
    </w:p>
    <w:p w14:paraId="4492353D" w14:textId="77777777" w:rsidR="00D576C9" w:rsidRDefault="00000000">
      <w:pPr>
        <w:pStyle w:val="Heading2"/>
      </w:pPr>
      <w:r>
        <w:t>4.1 Theoretical Framework</w:t>
      </w:r>
    </w:p>
    <w:p w14:paraId="38114392" w14:textId="77777777" w:rsidR="00D576C9" w:rsidRDefault="00000000" w:rsidP="00B463FD">
      <w:pPr>
        <w:spacing w:before="60" w:after="100" w:line="300" w:lineRule="auto"/>
        <w:jc w:val="both"/>
      </w:pPr>
      <w:r>
        <w:rPr>
          <w:color w:val="595959"/>
        </w:rPr>
        <w:t xml:space="preserve">Two or more </w:t>
      </w:r>
      <w:proofErr w:type="gramStart"/>
      <w:r>
        <w:rPr>
          <w:color w:val="595959"/>
        </w:rPr>
        <w:t>I(</w:t>
      </w:r>
      <w:proofErr w:type="gramEnd"/>
      <w:r>
        <w:rPr>
          <w:color w:val="595959"/>
        </w:rPr>
        <w:t xml:space="preserve">1) series are cointegrated if a linear combination of them is </w:t>
      </w:r>
      <w:proofErr w:type="gramStart"/>
      <w:r>
        <w:rPr>
          <w:color w:val="595959"/>
        </w:rPr>
        <w:t>I(</w:t>
      </w:r>
      <w:proofErr w:type="gramEnd"/>
      <w:r>
        <w:rPr>
          <w:color w:val="595959"/>
        </w:rPr>
        <w:t xml:space="preserve">0) — that is, if a stable long-run equilibrium relationship exists between them despite each series being individually non-stationary. The concept was </w:t>
      </w:r>
      <w:proofErr w:type="spellStart"/>
      <w:r>
        <w:rPr>
          <w:color w:val="595959"/>
        </w:rPr>
        <w:t>formalised</w:t>
      </w:r>
      <w:proofErr w:type="spellEnd"/>
      <w:r>
        <w:rPr>
          <w:color w:val="595959"/>
        </w:rPr>
        <w:t xml:space="preserve"> by Engle and Granger (1987). If cointegration holds, OLS in levels is not spurious but instead yields a </w:t>
      </w:r>
      <w:proofErr w:type="spellStart"/>
      <w:r>
        <w:rPr>
          <w:color w:val="595959"/>
        </w:rPr>
        <w:t>superconsistent</w:t>
      </w:r>
      <w:proofErr w:type="spellEnd"/>
      <w:r>
        <w:rPr>
          <w:color w:val="595959"/>
        </w:rPr>
        <w:t xml:space="preserve"> estimator of the long-run relationship, and an Error Correction Model (ECM) can be specified to capture short-run dynamics around the long-run equilibrium.</w:t>
      </w:r>
    </w:p>
    <w:p w14:paraId="095A0CC9" w14:textId="77777777" w:rsidR="00D576C9" w:rsidRDefault="00000000" w:rsidP="00B463FD">
      <w:pPr>
        <w:spacing w:before="60" w:after="100" w:line="300" w:lineRule="auto"/>
        <w:jc w:val="both"/>
      </w:pPr>
      <w:r>
        <w:rPr>
          <w:color w:val="595959"/>
        </w:rPr>
        <w:t xml:space="preserve">Given that LOG_M2 and LOG_GOVT are both </w:t>
      </w:r>
      <w:proofErr w:type="gramStart"/>
      <w:r>
        <w:rPr>
          <w:color w:val="595959"/>
        </w:rPr>
        <w:t>I(</w:t>
      </w:r>
      <w:proofErr w:type="gramEnd"/>
      <w:r>
        <w:rPr>
          <w:color w:val="595959"/>
        </w:rPr>
        <w:t xml:space="preserve">1) — and CPI_INFLATION is </w:t>
      </w:r>
      <w:proofErr w:type="gramStart"/>
      <w:r>
        <w:rPr>
          <w:color w:val="595959"/>
        </w:rPr>
        <w:t>I(</w:t>
      </w:r>
      <w:proofErr w:type="gramEnd"/>
      <w:r>
        <w:rPr>
          <w:color w:val="595959"/>
        </w:rPr>
        <w:t xml:space="preserve">0), precluding it from a standard cointegration framework — the cointegration analysis focuses on the pair: LOG_M2 and LOG_GOVT. The economic motivation is the potential for monetary financing of fiscal deficits in </w:t>
      </w:r>
      <w:r>
        <w:rPr>
          <w:color w:val="595959"/>
        </w:rPr>
        <w:lastRenderedPageBreak/>
        <w:t>Pakistan: governments that spend beyond their tax revenues may resort to money creation, producing a long-run link between the two series.</w:t>
      </w:r>
    </w:p>
    <w:p w14:paraId="5EA93F34" w14:textId="77777777" w:rsidR="00D576C9" w:rsidRDefault="00000000">
      <w:pPr>
        <w:pStyle w:val="Heading2"/>
      </w:pPr>
      <w:r>
        <w:t>4.2 Engle-Granger Two-Step Procedure</w:t>
      </w:r>
    </w:p>
    <w:p w14:paraId="1DEA92F9" w14:textId="77777777" w:rsidR="00D576C9" w:rsidRDefault="00000000" w:rsidP="00DF52DA">
      <w:pPr>
        <w:spacing w:before="60" w:after="100" w:line="300" w:lineRule="auto"/>
        <w:jc w:val="both"/>
      </w:pPr>
      <w:r>
        <w:rPr>
          <w:color w:val="595959"/>
        </w:rPr>
        <w:t xml:space="preserve">Step 1 — Cointegrating Regression: LOG_M2 was regressed on LOG_GOVT in levels using OLS. The estimated coefficient on LOG_GOVT was 1.074 (t = 106.0), implying near-unit elasticity: a 1% increase in government expenditure is associated with approximately a 1.074% increase in money supply. R-squared was 0.996. The Durbin-Watson statistic of 0.288 indicates severe serial correlation in residuals, which is expected with </w:t>
      </w:r>
      <w:proofErr w:type="gramStart"/>
      <w:r>
        <w:rPr>
          <w:color w:val="595959"/>
        </w:rPr>
        <w:t>I(</w:t>
      </w:r>
      <w:proofErr w:type="gramEnd"/>
      <w:r>
        <w:rPr>
          <w:color w:val="595959"/>
        </w:rPr>
        <w:t>1) data and does not invalidate the procedure.</w:t>
      </w:r>
    </w:p>
    <w:p w14:paraId="4B150F35" w14:textId="77777777" w:rsidR="00D576C9" w:rsidRDefault="00000000" w:rsidP="00DF52DA">
      <w:pPr>
        <w:spacing w:before="60" w:after="100" w:line="300" w:lineRule="auto"/>
        <w:jc w:val="both"/>
      </w:pPr>
      <w:r>
        <w:rPr>
          <w:color w:val="595959"/>
        </w:rPr>
        <w:t>Step 2 — Residual Stationarity Test: Residuals from the cointegrating regression (RESID_COINT) were tested for stationarity using ADF with no constant and no trend. The ADF statistic was -2.091 (p = 0.0364 by standard MacKinnon tables). However, the correct critical values for residual-based cointegration tests are the Engle-Granger critical values, which are more stringent than standard ADF critical values. The Engle-Granger critical values for a bivariate system are approximately -3.9 to -4.1 at 1% and -3.3 to -3.5 at 5% (exact values depend on sample size; the reader should verify against MacKinnon, 1991 response surface tables). Against these benchmarks, the ADF statistic of -2.091 does not reject the null of no cointegration.</w:t>
      </w:r>
    </w:p>
    <w:p w14:paraId="01F5394D" w14:textId="77777777" w:rsidR="00D576C9" w:rsidRDefault="00000000">
      <w:pPr>
        <w:pStyle w:val="Heading2"/>
      </w:pPr>
      <w:r>
        <w:t>4.3 Johansen Maximum Likelihood Test</w:t>
      </w:r>
    </w:p>
    <w:p w14:paraId="37A3F8AB" w14:textId="77777777" w:rsidR="00D576C9" w:rsidRDefault="00000000" w:rsidP="00DF52DA">
      <w:pPr>
        <w:spacing w:before="60" w:after="100" w:line="300" w:lineRule="auto"/>
        <w:jc w:val="both"/>
      </w:pPr>
      <w:r>
        <w:rPr>
          <w:color w:val="595959"/>
        </w:rPr>
        <w:t xml:space="preserve">The Johansen procedure was applied using a </w:t>
      </w:r>
      <w:proofErr w:type="gramStart"/>
      <w:r>
        <w:rPr>
          <w:color w:val="595959"/>
        </w:rPr>
        <w:t>VAR(</w:t>
      </w:r>
      <w:proofErr w:type="gramEnd"/>
      <w:r>
        <w:rPr>
          <w:color w:val="595959"/>
        </w:rPr>
        <w:t>1) in first differences with a constant in the cointegrating equation (Case 3 specification). The trace and maximum-eigenvalue statistics are reported below.</w:t>
      </w:r>
    </w:p>
    <w:p w14:paraId="28878CB8" w14:textId="77777777" w:rsidR="00D576C9" w:rsidRDefault="00D576C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D576C9" w14:paraId="56047B24" w14:textId="77777777">
        <w:tblPrEx>
          <w:tblCellMar>
            <w:top w:w="0" w:type="dxa"/>
            <w:bottom w:w="0" w:type="dxa"/>
          </w:tblCellMar>
        </w:tblPrEx>
        <w:trPr>
          <w:tblHeader/>
        </w:trPr>
        <w:tc>
          <w:tcPr>
            <w:tcW w:w="2340" w:type="dxa"/>
            <w:tcBorders>
              <w:top w:val="single" w:sz="4" w:space="0" w:color="2E75B6"/>
              <w:left w:val="single" w:sz="1" w:space="0" w:color="AAAAAA"/>
              <w:bottom w:val="single" w:sz="4" w:space="0" w:color="2E75B6"/>
              <w:right w:val="single" w:sz="1" w:space="0" w:color="AAAAAA"/>
            </w:tcBorders>
            <w:shd w:val="clear" w:color="auto" w:fill="1F4E79"/>
            <w:tcMar>
              <w:top w:w="80" w:type="dxa"/>
              <w:left w:w="120" w:type="dxa"/>
              <w:bottom w:w="80" w:type="dxa"/>
              <w:right w:w="120" w:type="dxa"/>
            </w:tcMar>
            <w:vAlign w:val="center"/>
          </w:tcPr>
          <w:p w14:paraId="732E3C18" w14:textId="77777777" w:rsidR="00D576C9" w:rsidRDefault="00000000">
            <w:r>
              <w:rPr>
                <w:b/>
                <w:bCs/>
                <w:color w:val="FFFFFF"/>
                <w:sz w:val="20"/>
                <w:szCs w:val="20"/>
              </w:rPr>
              <w:t>H0: No. of CE(s)</w:t>
            </w:r>
          </w:p>
        </w:tc>
        <w:tc>
          <w:tcPr>
            <w:tcW w:w="1560" w:type="dxa"/>
            <w:tcBorders>
              <w:top w:val="single" w:sz="4" w:space="0" w:color="2E75B6"/>
              <w:left w:val="single" w:sz="1" w:space="0" w:color="AAAAAA"/>
              <w:bottom w:val="single" w:sz="4" w:space="0" w:color="2E75B6"/>
              <w:right w:val="single" w:sz="1" w:space="0" w:color="AAAAAA"/>
            </w:tcBorders>
            <w:shd w:val="clear" w:color="auto" w:fill="1F4E79"/>
            <w:tcMar>
              <w:top w:w="80" w:type="dxa"/>
              <w:left w:w="120" w:type="dxa"/>
              <w:bottom w:w="80" w:type="dxa"/>
              <w:right w:w="120" w:type="dxa"/>
            </w:tcMar>
            <w:vAlign w:val="center"/>
          </w:tcPr>
          <w:p w14:paraId="4FC448F9" w14:textId="77777777" w:rsidR="00D576C9" w:rsidRDefault="00000000">
            <w:r>
              <w:rPr>
                <w:b/>
                <w:bCs/>
                <w:color w:val="FFFFFF"/>
                <w:sz w:val="20"/>
                <w:szCs w:val="20"/>
              </w:rPr>
              <w:t>Trace Stat.</w:t>
            </w:r>
          </w:p>
        </w:tc>
        <w:tc>
          <w:tcPr>
            <w:tcW w:w="1560" w:type="dxa"/>
            <w:tcBorders>
              <w:top w:val="single" w:sz="4" w:space="0" w:color="2E75B6"/>
              <w:left w:val="single" w:sz="1" w:space="0" w:color="AAAAAA"/>
              <w:bottom w:val="single" w:sz="4" w:space="0" w:color="2E75B6"/>
              <w:right w:val="single" w:sz="1" w:space="0" w:color="AAAAAA"/>
            </w:tcBorders>
            <w:shd w:val="clear" w:color="auto" w:fill="1F4E79"/>
            <w:tcMar>
              <w:top w:w="80" w:type="dxa"/>
              <w:left w:w="120" w:type="dxa"/>
              <w:bottom w:w="80" w:type="dxa"/>
              <w:right w:w="120" w:type="dxa"/>
            </w:tcMar>
            <w:vAlign w:val="center"/>
          </w:tcPr>
          <w:p w14:paraId="383053CC" w14:textId="77777777" w:rsidR="00D576C9" w:rsidRDefault="00000000">
            <w:r>
              <w:rPr>
                <w:b/>
                <w:bCs/>
                <w:color w:val="FFFFFF"/>
                <w:sz w:val="20"/>
                <w:szCs w:val="20"/>
              </w:rPr>
              <w:t>5% CV</w:t>
            </w:r>
          </w:p>
        </w:tc>
        <w:tc>
          <w:tcPr>
            <w:tcW w:w="1560" w:type="dxa"/>
            <w:tcBorders>
              <w:top w:val="single" w:sz="4" w:space="0" w:color="2E75B6"/>
              <w:left w:val="single" w:sz="1" w:space="0" w:color="AAAAAA"/>
              <w:bottom w:val="single" w:sz="4" w:space="0" w:color="2E75B6"/>
              <w:right w:val="single" w:sz="1" w:space="0" w:color="AAAAAA"/>
            </w:tcBorders>
            <w:shd w:val="clear" w:color="auto" w:fill="1F4E79"/>
            <w:tcMar>
              <w:top w:w="80" w:type="dxa"/>
              <w:left w:w="120" w:type="dxa"/>
              <w:bottom w:w="80" w:type="dxa"/>
              <w:right w:w="120" w:type="dxa"/>
            </w:tcMar>
            <w:vAlign w:val="center"/>
          </w:tcPr>
          <w:p w14:paraId="310B7CB2" w14:textId="77777777" w:rsidR="00D576C9" w:rsidRDefault="00000000">
            <w:r>
              <w:rPr>
                <w:b/>
                <w:bCs/>
                <w:color w:val="FFFFFF"/>
                <w:sz w:val="20"/>
                <w:szCs w:val="20"/>
              </w:rPr>
              <w:t>p-value</w:t>
            </w:r>
          </w:p>
        </w:tc>
        <w:tc>
          <w:tcPr>
            <w:tcW w:w="2340" w:type="dxa"/>
            <w:tcBorders>
              <w:top w:val="single" w:sz="4" w:space="0" w:color="2E75B6"/>
              <w:left w:val="single" w:sz="1" w:space="0" w:color="AAAAAA"/>
              <w:bottom w:val="single" w:sz="4" w:space="0" w:color="2E75B6"/>
              <w:right w:val="single" w:sz="1" w:space="0" w:color="AAAAAA"/>
            </w:tcBorders>
            <w:shd w:val="clear" w:color="auto" w:fill="1F4E79"/>
            <w:tcMar>
              <w:top w:w="80" w:type="dxa"/>
              <w:left w:w="120" w:type="dxa"/>
              <w:bottom w:w="80" w:type="dxa"/>
              <w:right w:w="120" w:type="dxa"/>
            </w:tcMar>
            <w:vAlign w:val="center"/>
          </w:tcPr>
          <w:p w14:paraId="20BB8C5C" w14:textId="77777777" w:rsidR="00D576C9" w:rsidRDefault="00000000">
            <w:r>
              <w:rPr>
                <w:b/>
                <w:bCs/>
                <w:color w:val="FFFFFF"/>
                <w:sz w:val="20"/>
                <w:szCs w:val="20"/>
              </w:rPr>
              <w:t>Conclusion</w:t>
            </w:r>
          </w:p>
        </w:tc>
      </w:tr>
      <w:tr w:rsidR="00D576C9" w14:paraId="4A039D4B"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F4E621" w14:textId="77777777" w:rsidR="00D576C9" w:rsidRDefault="00000000">
            <w:r>
              <w:rPr>
                <w:color w:val="000000"/>
                <w:sz w:val="20"/>
                <w:szCs w:val="20"/>
              </w:rPr>
              <w:t>None (r = 0)</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2D2F7E" w14:textId="77777777" w:rsidR="00D576C9" w:rsidRDefault="00000000">
            <w:pPr>
              <w:jc w:val="center"/>
            </w:pPr>
            <w:r>
              <w:rPr>
                <w:color w:val="000000"/>
                <w:sz w:val="20"/>
                <w:szCs w:val="20"/>
              </w:rPr>
              <w:t>5.360</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83D4C1" w14:textId="77777777" w:rsidR="00D576C9" w:rsidRDefault="00000000">
            <w:pPr>
              <w:jc w:val="center"/>
            </w:pPr>
            <w:r>
              <w:rPr>
                <w:color w:val="000000"/>
                <w:sz w:val="20"/>
                <w:szCs w:val="20"/>
              </w:rPr>
              <w:t>15.495</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85E41B" w14:textId="77777777" w:rsidR="00D576C9" w:rsidRDefault="00000000">
            <w:pPr>
              <w:jc w:val="center"/>
            </w:pPr>
            <w:r>
              <w:rPr>
                <w:color w:val="000000"/>
                <w:sz w:val="20"/>
                <w:szCs w:val="20"/>
              </w:rPr>
              <w:t>0.7694</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18C9A2E" w14:textId="77777777" w:rsidR="00D576C9" w:rsidRDefault="00000000">
            <w:pPr>
              <w:jc w:val="center"/>
            </w:pPr>
            <w:r>
              <w:rPr>
                <w:color w:val="000000"/>
                <w:sz w:val="20"/>
                <w:szCs w:val="20"/>
              </w:rPr>
              <w:t>Fail to reject</w:t>
            </w:r>
          </w:p>
        </w:tc>
      </w:tr>
      <w:tr w:rsidR="00D576C9" w14:paraId="59573828"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7B62423" w14:textId="77777777" w:rsidR="00D576C9" w:rsidRDefault="00000000">
            <w:r>
              <w:rPr>
                <w:color w:val="000000"/>
                <w:sz w:val="20"/>
                <w:szCs w:val="20"/>
              </w:rPr>
              <w:t>At most 1 (r = 1)</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194F6AD" w14:textId="77777777" w:rsidR="00D576C9" w:rsidRDefault="00000000">
            <w:pPr>
              <w:jc w:val="center"/>
            </w:pPr>
            <w:r>
              <w:rPr>
                <w:color w:val="000000"/>
                <w:sz w:val="20"/>
                <w:szCs w:val="20"/>
              </w:rPr>
              <w:t>0.929</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AC8523D" w14:textId="77777777" w:rsidR="00D576C9" w:rsidRDefault="00000000">
            <w:pPr>
              <w:jc w:val="center"/>
            </w:pPr>
            <w:r>
              <w:rPr>
                <w:color w:val="000000"/>
                <w:sz w:val="20"/>
                <w:szCs w:val="20"/>
              </w:rPr>
              <w:t>3.841</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207F70D" w14:textId="77777777" w:rsidR="00D576C9" w:rsidRDefault="00000000">
            <w:pPr>
              <w:jc w:val="center"/>
            </w:pPr>
            <w:r>
              <w:rPr>
                <w:color w:val="000000"/>
                <w:sz w:val="20"/>
                <w:szCs w:val="20"/>
              </w:rPr>
              <w:t>0.3351</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69DA888" w14:textId="77777777" w:rsidR="00D576C9" w:rsidRDefault="00000000">
            <w:pPr>
              <w:jc w:val="center"/>
            </w:pPr>
            <w:r>
              <w:rPr>
                <w:color w:val="000000"/>
                <w:sz w:val="20"/>
                <w:szCs w:val="20"/>
              </w:rPr>
              <w:t>Fail to reject</w:t>
            </w:r>
          </w:p>
        </w:tc>
      </w:tr>
    </w:tbl>
    <w:p w14:paraId="02122CB4" w14:textId="77777777" w:rsidR="00D576C9" w:rsidRDefault="00D576C9">
      <w:pPr>
        <w:spacing w:after="80"/>
      </w:pPr>
    </w:p>
    <w:p w14:paraId="0E49A486" w14:textId="77777777" w:rsidR="00D576C9" w:rsidRDefault="00000000" w:rsidP="00773F9F">
      <w:pPr>
        <w:spacing w:before="60" w:after="100" w:line="300" w:lineRule="auto"/>
        <w:jc w:val="both"/>
      </w:pPr>
      <w:r>
        <w:rPr>
          <w:color w:val="595959"/>
        </w:rPr>
        <w:t>The max-eigenvalue test produced identical conclusions: statistic of 4.431 against a critical value of 14.265 (p = 0.8113). Both tests unambiguously fail to reject the null of no cointegration. EViews explicitly reports: 'Trace test indicates no cointegration at the 0.05 level.'</w:t>
      </w:r>
    </w:p>
    <w:p w14:paraId="3A3965D3" w14:textId="77777777" w:rsidR="00D576C9" w:rsidRDefault="00000000" w:rsidP="00773F9F">
      <w:pPr>
        <w:spacing w:before="60" w:after="100" w:line="300" w:lineRule="auto"/>
        <w:jc w:val="both"/>
      </w:pPr>
      <w:r>
        <w:rPr>
          <w:color w:val="595959"/>
        </w:rPr>
        <w:t>Conclusion: LOG_M2 and LOG_GOVT are not cointegrated over the 1970-2020 sample. No long-run equilibrium relationship can be detected between money supply and government expenditure in Pakistan at conventional significance levels. This may reflect structural breaks across multiple monetary and fiscal regimes over the 50-year sample, or insufficient power of the Johansen test with approximately 51 annual observations — a known limitation of small-sample cointegration tests, though the exact power properties in this configuration are not stated with certainty here.</w:t>
      </w:r>
    </w:p>
    <w:p w14:paraId="47042286" w14:textId="77777777" w:rsidR="00D576C9" w:rsidRDefault="00000000" w:rsidP="00773F9F">
      <w:pPr>
        <w:spacing w:before="60" w:after="100" w:line="300" w:lineRule="auto"/>
        <w:jc w:val="both"/>
      </w:pPr>
      <w:r>
        <w:rPr>
          <w:color w:val="595959"/>
        </w:rPr>
        <w:t xml:space="preserve">Since no cointegration was found, the Error Correction Model (ECM) cannot be estimated. The ECM requires a cointegrating relationship as its theoretical foundation; absent this, the appropriate </w:t>
      </w:r>
      <w:r>
        <w:rPr>
          <w:color w:val="595959"/>
        </w:rPr>
        <w:lastRenderedPageBreak/>
        <w:t>modelling strategy is to work with stationary (differenced or growth rate) series, as was done in the VAR analysis of Section 5.</w:t>
      </w:r>
    </w:p>
    <w:p w14:paraId="04AD447A" w14:textId="77777777" w:rsidR="00D576C9" w:rsidRDefault="00D576C9" w:rsidP="00773F9F">
      <w:pPr>
        <w:spacing w:after="120"/>
        <w:jc w:val="both"/>
      </w:pPr>
    </w:p>
    <w:p w14:paraId="0628AEFA" w14:textId="77777777" w:rsidR="00D576C9" w:rsidRDefault="00000000">
      <w:pPr>
        <w:pStyle w:val="Heading1"/>
        <w:pBdr>
          <w:bottom w:val="single" w:sz="6" w:space="4" w:color="2E75B6"/>
        </w:pBdr>
      </w:pPr>
      <w:r>
        <w:t>5. ARIMA Modelling — CPI Inflation</w:t>
      </w:r>
    </w:p>
    <w:p w14:paraId="61CD5834" w14:textId="77777777" w:rsidR="00D576C9" w:rsidRDefault="00000000">
      <w:pPr>
        <w:pStyle w:val="Heading2"/>
      </w:pPr>
      <w:r>
        <w:t>5.1 Methodology</w:t>
      </w:r>
    </w:p>
    <w:p w14:paraId="1DBDA340" w14:textId="77777777" w:rsidR="00D576C9" w:rsidRDefault="00000000" w:rsidP="00DC5D1B">
      <w:pPr>
        <w:spacing w:before="60" w:after="100" w:line="300" w:lineRule="auto"/>
        <w:jc w:val="both"/>
      </w:pPr>
      <w:r>
        <w:rPr>
          <w:color w:val="595959"/>
        </w:rPr>
        <w:t xml:space="preserve">Since CPI_INFLATION is confirmed </w:t>
      </w:r>
      <w:proofErr w:type="gramStart"/>
      <w:r>
        <w:rPr>
          <w:color w:val="595959"/>
        </w:rPr>
        <w:t>I(</w:t>
      </w:r>
      <w:proofErr w:type="gramEnd"/>
      <w:r>
        <w:rPr>
          <w:color w:val="595959"/>
        </w:rPr>
        <w:t>0), it is directly amenable to ARMA modelling without differencing (d = 0). The Box-Jenkins methodology proceeds in three steps: (1) identification of candidate p and q orders using the ACF and PACF correlogram; (2) estimation of candidate models; (3) selection of the optimal model using information criteria and residual diagnostics.</w:t>
      </w:r>
    </w:p>
    <w:p w14:paraId="0F2C985B" w14:textId="77777777" w:rsidR="00D576C9" w:rsidRDefault="00000000">
      <w:pPr>
        <w:pStyle w:val="Heading2"/>
      </w:pPr>
      <w:r>
        <w:t>5.2 Correlogram Analysis</w:t>
      </w:r>
    </w:p>
    <w:p w14:paraId="3CDDA730" w14:textId="77777777" w:rsidR="00D576C9" w:rsidRDefault="00000000" w:rsidP="00DC5D1B">
      <w:pPr>
        <w:spacing w:before="60" w:after="100" w:line="300" w:lineRule="auto"/>
        <w:jc w:val="both"/>
      </w:pPr>
      <w:r>
        <w:rPr>
          <w:color w:val="595959"/>
        </w:rPr>
        <w:t xml:space="preserve">The correlogram of CPI_INFLATION (24 lags) showed: a large spike at lag 1 in the ACF (AC = 0.607), with a sharp drop thereafter; a dominant spike at lag 1 in the PACF (PAC = 0.607) and a secondary spike at lag 2 (PAC = -0.247), with values at higher lags within the noise band. This pattern — PACF cutting off after lag 1-2 while ACF decays — is characteristic of an AR process. Three candidate models were estimated: </w:t>
      </w:r>
      <w:proofErr w:type="gramStart"/>
      <w:r>
        <w:rPr>
          <w:color w:val="595959"/>
        </w:rPr>
        <w:t>AR(</w:t>
      </w:r>
      <w:proofErr w:type="gramEnd"/>
      <w:r>
        <w:rPr>
          <w:color w:val="595959"/>
        </w:rPr>
        <w:t xml:space="preserve">1), </w:t>
      </w:r>
      <w:proofErr w:type="gramStart"/>
      <w:r>
        <w:rPr>
          <w:color w:val="595959"/>
        </w:rPr>
        <w:t>AR(</w:t>
      </w:r>
      <w:proofErr w:type="gramEnd"/>
      <w:r>
        <w:rPr>
          <w:color w:val="595959"/>
        </w:rPr>
        <w:t xml:space="preserve">2), and </w:t>
      </w:r>
      <w:proofErr w:type="gramStart"/>
      <w:r>
        <w:rPr>
          <w:color w:val="595959"/>
        </w:rPr>
        <w:t>ARMA(</w:t>
      </w:r>
      <w:proofErr w:type="gramEnd"/>
      <w:r>
        <w:rPr>
          <w:color w:val="595959"/>
        </w:rPr>
        <w:t>1,1).</w:t>
      </w:r>
    </w:p>
    <w:p w14:paraId="1E63A4E5" w14:textId="77777777" w:rsidR="00D576C9" w:rsidRDefault="00000000">
      <w:pPr>
        <w:pStyle w:val="Heading2"/>
      </w:pPr>
      <w:r>
        <w:t>5.3 Model Comparison</w:t>
      </w:r>
    </w:p>
    <w:p w14:paraId="6FB9B177" w14:textId="77777777" w:rsidR="00D576C9" w:rsidRDefault="00D576C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1560"/>
        <w:gridCol w:w="780"/>
      </w:tblGrid>
      <w:tr w:rsidR="00D576C9" w14:paraId="587710A1" w14:textId="77777777">
        <w:tblPrEx>
          <w:tblCellMar>
            <w:top w:w="0" w:type="dxa"/>
            <w:bottom w:w="0" w:type="dxa"/>
          </w:tblCellMar>
        </w:tblPrEx>
        <w:trPr>
          <w:tblHeader/>
        </w:trPr>
        <w:tc>
          <w:tcPr>
            <w:tcW w:w="2340" w:type="dxa"/>
            <w:tcBorders>
              <w:top w:val="single" w:sz="4" w:space="0" w:color="2E75B6"/>
              <w:left w:val="single" w:sz="1" w:space="0" w:color="AAAAAA"/>
              <w:bottom w:val="single" w:sz="4" w:space="0" w:color="2E75B6"/>
              <w:right w:val="single" w:sz="1" w:space="0" w:color="AAAAAA"/>
            </w:tcBorders>
            <w:shd w:val="clear" w:color="auto" w:fill="1F4E79"/>
            <w:tcMar>
              <w:top w:w="80" w:type="dxa"/>
              <w:left w:w="120" w:type="dxa"/>
              <w:bottom w:w="80" w:type="dxa"/>
              <w:right w:w="120" w:type="dxa"/>
            </w:tcMar>
            <w:vAlign w:val="center"/>
          </w:tcPr>
          <w:p w14:paraId="41DA1EFC" w14:textId="77777777" w:rsidR="00D576C9" w:rsidRDefault="00000000">
            <w:r>
              <w:rPr>
                <w:b/>
                <w:bCs/>
                <w:color w:val="FFFFFF"/>
                <w:sz w:val="20"/>
                <w:szCs w:val="20"/>
              </w:rPr>
              <w:t>Criterion</w:t>
            </w:r>
          </w:p>
        </w:tc>
        <w:tc>
          <w:tcPr>
            <w:tcW w:w="1560" w:type="dxa"/>
            <w:tcBorders>
              <w:top w:val="single" w:sz="4" w:space="0" w:color="2E75B6"/>
              <w:left w:val="single" w:sz="1" w:space="0" w:color="AAAAAA"/>
              <w:bottom w:val="single" w:sz="4" w:space="0" w:color="2E75B6"/>
              <w:right w:val="single" w:sz="1" w:space="0" w:color="AAAAAA"/>
            </w:tcBorders>
            <w:shd w:val="clear" w:color="auto" w:fill="1F4E79"/>
            <w:tcMar>
              <w:top w:w="80" w:type="dxa"/>
              <w:left w:w="120" w:type="dxa"/>
              <w:bottom w:w="80" w:type="dxa"/>
              <w:right w:w="120" w:type="dxa"/>
            </w:tcMar>
            <w:vAlign w:val="center"/>
          </w:tcPr>
          <w:p w14:paraId="67E39405" w14:textId="77777777" w:rsidR="00D576C9" w:rsidRDefault="00000000">
            <w:proofErr w:type="gramStart"/>
            <w:r>
              <w:rPr>
                <w:b/>
                <w:bCs/>
                <w:color w:val="FFFFFF"/>
                <w:sz w:val="20"/>
                <w:szCs w:val="20"/>
              </w:rPr>
              <w:t>AR(</w:t>
            </w:r>
            <w:proofErr w:type="gramEnd"/>
            <w:r>
              <w:rPr>
                <w:b/>
                <w:bCs/>
                <w:color w:val="FFFFFF"/>
                <w:sz w:val="20"/>
                <w:szCs w:val="20"/>
              </w:rPr>
              <w:t>1)</w:t>
            </w:r>
          </w:p>
        </w:tc>
        <w:tc>
          <w:tcPr>
            <w:tcW w:w="1560" w:type="dxa"/>
            <w:tcBorders>
              <w:top w:val="single" w:sz="4" w:space="0" w:color="2E75B6"/>
              <w:left w:val="single" w:sz="1" w:space="0" w:color="AAAAAA"/>
              <w:bottom w:val="single" w:sz="4" w:space="0" w:color="2E75B6"/>
              <w:right w:val="single" w:sz="1" w:space="0" w:color="AAAAAA"/>
            </w:tcBorders>
            <w:shd w:val="clear" w:color="auto" w:fill="1F4E79"/>
            <w:tcMar>
              <w:top w:w="80" w:type="dxa"/>
              <w:left w:w="120" w:type="dxa"/>
              <w:bottom w:w="80" w:type="dxa"/>
              <w:right w:w="120" w:type="dxa"/>
            </w:tcMar>
            <w:vAlign w:val="center"/>
          </w:tcPr>
          <w:p w14:paraId="20B261EE" w14:textId="77777777" w:rsidR="00D576C9" w:rsidRDefault="00000000">
            <w:proofErr w:type="gramStart"/>
            <w:r>
              <w:rPr>
                <w:b/>
                <w:bCs/>
                <w:color w:val="FFFFFF"/>
                <w:sz w:val="20"/>
                <w:szCs w:val="20"/>
              </w:rPr>
              <w:t>AR(</w:t>
            </w:r>
            <w:proofErr w:type="gramEnd"/>
            <w:r>
              <w:rPr>
                <w:b/>
                <w:bCs/>
                <w:color w:val="FFFFFF"/>
                <w:sz w:val="20"/>
                <w:szCs w:val="20"/>
              </w:rPr>
              <w:t>2)</w:t>
            </w:r>
          </w:p>
        </w:tc>
        <w:tc>
          <w:tcPr>
            <w:tcW w:w="1560" w:type="dxa"/>
            <w:tcBorders>
              <w:top w:val="single" w:sz="4" w:space="0" w:color="2E75B6"/>
              <w:left w:val="single" w:sz="1" w:space="0" w:color="AAAAAA"/>
              <w:bottom w:val="single" w:sz="4" w:space="0" w:color="2E75B6"/>
              <w:right w:val="single" w:sz="1" w:space="0" w:color="AAAAAA"/>
            </w:tcBorders>
            <w:shd w:val="clear" w:color="auto" w:fill="1F4E79"/>
            <w:tcMar>
              <w:top w:w="80" w:type="dxa"/>
              <w:left w:w="120" w:type="dxa"/>
              <w:bottom w:w="80" w:type="dxa"/>
              <w:right w:w="120" w:type="dxa"/>
            </w:tcMar>
            <w:vAlign w:val="center"/>
          </w:tcPr>
          <w:p w14:paraId="7663A054" w14:textId="77777777" w:rsidR="00D576C9" w:rsidRDefault="00000000">
            <w:proofErr w:type="gramStart"/>
            <w:r>
              <w:rPr>
                <w:b/>
                <w:bCs/>
                <w:color w:val="FFFFFF"/>
                <w:sz w:val="20"/>
                <w:szCs w:val="20"/>
              </w:rPr>
              <w:t>ARMA(</w:t>
            </w:r>
            <w:proofErr w:type="gramEnd"/>
            <w:r>
              <w:rPr>
                <w:b/>
                <w:bCs/>
                <w:color w:val="FFFFFF"/>
                <w:sz w:val="20"/>
                <w:szCs w:val="20"/>
              </w:rPr>
              <w:t>1,1)</w:t>
            </w:r>
          </w:p>
        </w:tc>
        <w:tc>
          <w:tcPr>
            <w:tcW w:w="1560" w:type="dxa"/>
            <w:tcBorders>
              <w:top w:val="single" w:sz="4" w:space="0" w:color="2E75B6"/>
              <w:left w:val="single" w:sz="1" w:space="0" w:color="AAAAAA"/>
              <w:bottom w:val="single" w:sz="4" w:space="0" w:color="2E75B6"/>
              <w:right w:val="single" w:sz="1" w:space="0" w:color="AAAAAA"/>
            </w:tcBorders>
            <w:shd w:val="clear" w:color="auto" w:fill="1F4E79"/>
            <w:tcMar>
              <w:top w:w="80" w:type="dxa"/>
              <w:left w:w="120" w:type="dxa"/>
              <w:bottom w:w="80" w:type="dxa"/>
              <w:right w:w="120" w:type="dxa"/>
            </w:tcMar>
            <w:vAlign w:val="center"/>
          </w:tcPr>
          <w:p w14:paraId="670AB18C" w14:textId="77777777" w:rsidR="00D576C9" w:rsidRDefault="00000000">
            <w:r>
              <w:rPr>
                <w:b/>
                <w:bCs/>
                <w:color w:val="FFFFFF"/>
                <w:sz w:val="20"/>
                <w:szCs w:val="20"/>
              </w:rPr>
              <w:t>Best</w:t>
            </w:r>
          </w:p>
        </w:tc>
        <w:tc>
          <w:tcPr>
            <w:tcW w:w="780" w:type="dxa"/>
            <w:tcBorders>
              <w:top w:val="single" w:sz="4" w:space="0" w:color="2E75B6"/>
              <w:left w:val="single" w:sz="1" w:space="0" w:color="AAAAAA"/>
              <w:bottom w:val="single" w:sz="4" w:space="0" w:color="2E75B6"/>
              <w:right w:val="single" w:sz="1" w:space="0" w:color="AAAAAA"/>
            </w:tcBorders>
            <w:shd w:val="clear" w:color="auto" w:fill="1F4E79"/>
            <w:tcMar>
              <w:top w:w="80" w:type="dxa"/>
              <w:left w:w="120" w:type="dxa"/>
              <w:bottom w:w="80" w:type="dxa"/>
              <w:right w:w="120" w:type="dxa"/>
            </w:tcMar>
            <w:vAlign w:val="center"/>
          </w:tcPr>
          <w:p w14:paraId="204A2B97" w14:textId="77777777" w:rsidR="00D576C9" w:rsidRDefault="00D576C9"/>
        </w:tc>
      </w:tr>
      <w:tr w:rsidR="00D576C9" w14:paraId="3D3A7B50"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C5C2FB" w14:textId="77777777" w:rsidR="00D576C9" w:rsidRDefault="00000000">
            <w:r>
              <w:rPr>
                <w:color w:val="000000"/>
                <w:sz w:val="20"/>
                <w:szCs w:val="20"/>
              </w:rPr>
              <w:t>AIC</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D616DD" w14:textId="77777777" w:rsidR="00D576C9" w:rsidRDefault="00000000">
            <w:pPr>
              <w:jc w:val="center"/>
            </w:pPr>
            <w:r>
              <w:rPr>
                <w:color w:val="000000"/>
                <w:sz w:val="20"/>
                <w:szCs w:val="20"/>
              </w:rPr>
              <w:t>5.7406</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37E38C" w14:textId="77777777" w:rsidR="00D576C9" w:rsidRDefault="00000000">
            <w:pPr>
              <w:jc w:val="center"/>
            </w:pPr>
            <w:r>
              <w:rPr>
                <w:color w:val="000000"/>
                <w:sz w:val="20"/>
                <w:szCs w:val="20"/>
              </w:rPr>
              <w:t>5.7206</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2211B5E" w14:textId="77777777" w:rsidR="00D576C9" w:rsidRDefault="00000000">
            <w:pPr>
              <w:jc w:val="center"/>
            </w:pPr>
            <w:r>
              <w:rPr>
                <w:color w:val="000000"/>
                <w:sz w:val="20"/>
                <w:szCs w:val="20"/>
              </w:rPr>
              <w:t>5.7384</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23D71E" w14:textId="77777777" w:rsidR="00D576C9" w:rsidRDefault="00000000">
            <w:pPr>
              <w:jc w:val="center"/>
            </w:pPr>
            <w:proofErr w:type="gramStart"/>
            <w:r>
              <w:rPr>
                <w:b/>
                <w:bCs/>
                <w:color w:val="000000"/>
                <w:sz w:val="20"/>
                <w:szCs w:val="20"/>
              </w:rPr>
              <w:t>AR(</w:t>
            </w:r>
            <w:proofErr w:type="gramEnd"/>
            <w:r>
              <w:rPr>
                <w:b/>
                <w:bCs/>
                <w:color w:val="000000"/>
                <w:sz w:val="20"/>
                <w:szCs w:val="20"/>
              </w:rPr>
              <w:t>2)</w:t>
            </w:r>
          </w:p>
        </w:tc>
        <w:tc>
          <w:tcPr>
            <w:tcW w:w="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0057F1" w14:textId="77777777" w:rsidR="00D576C9" w:rsidRDefault="00D576C9"/>
        </w:tc>
      </w:tr>
      <w:tr w:rsidR="00D576C9" w14:paraId="5A0EFF4B"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7997FD6" w14:textId="77777777" w:rsidR="00D576C9" w:rsidRDefault="00000000">
            <w:r>
              <w:rPr>
                <w:color w:val="000000"/>
                <w:sz w:val="20"/>
                <w:szCs w:val="20"/>
              </w:rPr>
              <w:t>SIC</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6C9EB11" w14:textId="77777777" w:rsidR="00D576C9" w:rsidRDefault="00000000">
            <w:pPr>
              <w:jc w:val="center"/>
            </w:pPr>
            <w:r>
              <w:rPr>
                <w:color w:val="000000"/>
                <w:sz w:val="20"/>
                <w:szCs w:val="20"/>
              </w:rPr>
              <w:t>5.8543</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B4BB91A" w14:textId="77777777" w:rsidR="00D576C9" w:rsidRDefault="00000000">
            <w:pPr>
              <w:jc w:val="center"/>
            </w:pPr>
            <w:r>
              <w:rPr>
                <w:color w:val="000000"/>
                <w:sz w:val="20"/>
                <w:szCs w:val="20"/>
              </w:rPr>
              <w:t>5.8721</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308F0B1" w14:textId="77777777" w:rsidR="00D576C9" w:rsidRDefault="00000000">
            <w:pPr>
              <w:jc w:val="center"/>
            </w:pPr>
            <w:r>
              <w:rPr>
                <w:color w:val="000000"/>
                <w:sz w:val="20"/>
                <w:szCs w:val="20"/>
              </w:rPr>
              <w:t>5.8899</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9066C66" w14:textId="77777777" w:rsidR="00D576C9" w:rsidRDefault="00000000">
            <w:pPr>
              <w:jc w:val="center"/>
            </w:pPr>
            <w:proofErr w:type="gramStart"/>
            <w:r>
              <w:rPr>
                <w:b/>
                <w:bCs/>
                <w:color w:val="000000"/>
                <w:sz w:val="20"/>
                <w:szCs w:val="20"/>
              </w:rPr>
              <w:t>AR(</w:t>
            </w:r>
            <w:proofErr w:type="gramEnd"/>
            <w:r>
              <w:rPr>
                <w:b/>
                <w:bCs/>
                <w:color w:val="000000"/>
                <w:sz w:val="20"/>
                <w:szCs w:val="20"/>
              </w:rPr>
              <w:t>1)</w:t>
            </w:r>
          </w:p>
        </w:tc>
        <w:tc>
          <w:tcPr>
            <w:tcW w:w="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6796470" w14:textId="77777777" w:rsidR="00D576C9" w:rsidRDefault="00D576C9"/>
        </w:tc>
      </w:tr>
      <w:tr w:rsidR="00D576C9" w14:paraId="0BEAF75B"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64BB96" w14:textId="77777777" w:rsidR="00D576C9" w:rsidRDefault="00000000">
            <w:r>
              <w:rPr>
                <w:color w:val="000000"/>
                <w:sz w:val="20"/>
                <w:szCs w:val="20"/>
              </w:rPr>
              <w:t>DW Statistic</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7D2D15" w14:textId="77777777" w:rsidR="00D576C9" w:rsidRDefault="00000000">
            <w:pPr>
              <w:jc w:val="center"/>
            </w:pPr>
            <w:r>
              <w:rPr>
                <w:color w:val="000000"/>
                <w:sz w:val="20"/>
                <w:szCs w:val="20"/>
              </w:rPr>
              <w:t>1.684</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372BF6" w14:textId="77777777" w:rsidR="00D576C9" w:rsidRDefault="00000000">
            <w:pPr>
              <w:jc w:val="center"/>
            </w:pPr>
            <w:r>
              <w:rPr>
                <w:color w:val="000000"/>
                <w:sz w:val="20"/>
                <w:szCs w:val="20"/>
              </w:rPr>
              <w:t>2.014</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9E5215" w14:textId="77777777" w:rsidR="00D576C9" w:rsidRDefault="00000000">
            <w:pPr>
              <w:jc w:val="center"/>
            </w:pPr>
            <w:r>
              <w:rPr>
                <w:color w:val="000000"/>
                <w:sz w:val="20"/>
                <w:szCs w:val="20"/>
              </w:rPr>
              <w:t>1.929</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BFE80A" w14:textId="77777777" w:rsidR="00D576C9" w:rsidRDefault="00000000">
            <w:pPr>
              <w:jc w:val="center"/>
            </w:pPr>
            <w:proofErr w:type="gramStart"/>
            <w:r>
              <w:rPr>
                <w:b/>
                <w:bCs/>
                <w:color w:val="000000"/>
                <w:sz w:val="20"/>
                <w:szCs w:val="20"/>
              </w:rPr>
              <w:t>AR(</w:t>
            </w:r>
            <w:proofErr w:type="gramEnd"/>
            <w:r>
              <w:rPr>
                <w:b/>
                <w:bCs/>
                <w:color w:val="000000"/>
                <w:sz w:val="20"/>
                <w:szCs w:val="20"/>
              </w:rPr>
              <w:t>2)</w:t>
            </w:r>
          </w:p>
        </w:tc>
        <w:tc>
          <w:tcPr>
            <w:tcW w:w="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359D94" w14:textId="77777777" w:rsidR="00D576C9" w:rsidRDefault="00D576C9"/>
        </w:tc>
      </w:tr>
      <w:tr w:rsidR="00D576C9" w14:paraId="32820C3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0202790" w14:textId="77777777" w:rsidR="00D576C9" w:rsidRDefault="00000000">
            <w:proofErr w:type="gramStart"/>
            <w:r>
              <w:rPr>
                <w:color w:val="000000"/>
                <w:sz w:val="20"/>
                <w:szCs w:val="20"/>
              </w:rPr>
              <w:t>AR(</w:t>
            </w:r>
            <w:proofErr w:type="gramEnd"/>
            <w:r>
              <w:rPr>
                <w:color w:val="000000"/>
                <w:sz w:val="20"/>
                <w:szCs w:val="20"/>
              </w:rPr>
              <w:t>1) significant?</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C9AA06B" w14:textId="77777777" w:rsidR="00D576C9" w:rsidRDefault="00000000">
            <w:pPr>
              <w:jc w:val="center"/>
            </w:pPr>
            <w:r>
              <w:rPr>
                <w:color w:val="000000"/>
                <w:sz w:val="20"/>
                <w:szCs w:val="20"/>
              </w:rPr>
              <w:t>Yes</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309124B" w14:textId="77777777" w:rsidR="00D576C9" w:rsidRDefault="00000000">
            <w:pPr>
              <w:jc w:val="center"/>
            </w:pPr>
            <w:r>
              <w:rPr>
                <w:color w:val="000000"/>
                <w:sz w:val="20"/>
                <w:szCs w:val="20"/>
              </w:rPr>
              <w:t>Yes</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E0FB6F7" w14:textId="77777777" w:rsidR="00D576C9" w:rsidRDefault="00000000">
            <w:pPr>
              <w:jc w:val="center"/>
            </w:pPr>
            <w:r>
              <w:rPr>
                <w:color w:val="000000"/>
                <w:sz w:val="20"/>
                <w:szCs w:val="20"/>
              </w:rPr>
              <w:t>No (p=0.071)</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BEAF4E6" w14:textId="77777777" w:rsidR="00D576C9" w:rsidRDefault="00000000">
            <w:pPr>
              <w:jc w:val="center"/>
            </w:pPr>
            <w:proofErr w:type="gramStart"/>
            <w:r>
              <w:rPr>
                <w:b/>
                <w:bCs/>
                <w:color w:val="000000"/>
                <w:sz w:val="20"/>
                <w:szCs w:val="20"/>
              </w:rPr>
              <w:t>AR(</w:t>
            </w:r>
            <w:proofErr w:type="gramEnd"/>
            <w:r>
              <w:rPr>
                <w:b/>
                <w:bCs/>
                <w:color w:val="000000"/>
                <w:sz w:val="20"/>
                <w:szCs w:val="20"/>
              </w:rPr>
              <w:t>2)</w:t>
            </w:r>
          </w:p>
        </w:tc>
        <w:tc>
          <w:tcPr>
            <w:tcW w:w="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FC20D38" w14:textId="77777777" w:rsidR="00D576C9" w:rsidRDefault="00D576C9"/>
        </w:tc>
      </w:tr>
      <w:tr w:rsidR="00D576C9" w14:paraId="1C95C4CE"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1C5368" w14:textId="77777777" w:rsidR="00D576C9" w:rsidRDefault="00000000">
            <w:r>
              <w:rPr>
                <w:color w:val="000000"/>
                <w:sz w:val="20"/>
                <w:szCs w:val="20"/>
              </w:rPr>
              <w:t>MA(1)/</w:t>
            </w:r>
            <w:proofErr w:type="gramStart"/>
            <w:r>
              <w:rPr>
                <w:color w:val="000000"/>
                <w:sz w:val="20"/>
                <w:szCs w:val="20"/>
              </w:rPr>
              <w:t>AR(</w:t>
            </w:r>
            <w:proofErr w:type="gramEnd"/>
            <w:r>
              <w:rPr>
                <w:color w:val="000000"/>
                <w:sz w:val="20"/>
                <w:szCs w:val="20"/>
              </w:rPr>
              <w:t>2) significant?</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B88F0D" w14:textId="77777777" w:rsidR="00D576C9" w:rsidRDefault="00000000">
            <w:pPr>
              <w:jc w:val="center"/>
            </w:pPr>
            <w:r>
              <w:rPr>
                <w:color w:val="000000"/>
                <w:sz w:val="20"/>
                <w:szCs w:val="20"/>
              </w:rPr>
              <w:t>—</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54D07E" w14:textId="77777777" w:rsidR="00D576C9" w:rsidRDefault="00000000">
            <w:pPr>
              <w:jc w:val="center"/>
            </w:pPr>
            <w:r>
              <w:rPr>
                <w:color w:val="000000"/>
                <w:sz w:val="20"/>
                <w:szCs w:val="20"/>
              </w:rPr>
              <w:t>Yes (p=0.048)</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CF6BC2" w14:textId="77777777" w:rsidR="00D576C9" w:rsidRDefault="00000000">
            <w:pPr>
              <w:jc w:val="center"/>
            </w:pPr>
            <w:r>
              <w:rPr>
                <w:color w:val="000000"/>
                <w:sz w:val="20"/>
                <w:szCs w:val="20"/>
              </w:rPr>
              <w:t>No (p=0.275)</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65C039" w14:textId="77777777" w:rsidR="00D576C9" w:rsidRDefault="00000000">
            <w:pPr>
              <w:jc w:val="center"/>
            </w:pPr>
            <w:proofErr w:type="gramStart"/>
            <w:r>
              <w:rPr>
                <w:b/>
                <w:bCs/>
                <w:color w:val="000000"/>
                <w:sz w:val="20"/>
                <w:szCs w:val="20"/>
              </w:rPr>
              <w:t>AR(</w:t>
            </w:r>
            <w:proofErr w:type="gramEnd"/>
            <w:r>
              <w:rPr>
                <w:b/>
                <w:bCs/>
                <w:color w:val="000000"/>
                <w:sz w:val="20"/>
                <w:szCs w:val="20"/>
              </w:rPr>
              <w:t>2)</w:t>
            </w:r>
          </w:p>
        </w:tc>
        <w:tc>
          <w:tcPr>
            <w:tcW w:w="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8C473D" w14:textId="77777777" w:rsidR="00D576C9" w:rsidRDefault="00D576C9"/>
        </w:tc>
      </w:tr>
      <w:tr w:rsidR="00D576C9" w14:paraId="7FD2D6B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8ABDDEA" w14:textId="77777777" w:rsidR="00D576C9" w:rsidRDefault="00000000">
            <w:r>
              <w:rPr>
                <w:color w:val="000000"/>
                <w:sz w:val="20"/>
                <w:szCs w:val="20"/>
              </w:rPr>
              <w:t>Residuals white noise?</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46D33FF" w14:textId="77777777" w:rsidR="00D576C9" w:rsidRDefault="00000000">
            <w:pPr>
              <w:jc w:val="center"/>
            </w:pPr>
            <w:r>
              <w:rPr>
                <w:color w:val="000000"/>
                <w:sz w:val="20"/>
                <w:szCs w:val="20"/>
              </w:rPr>
              <w:t>Borderline</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C709D3E" w14:textId="77777777" w:rsidR="00D576C9" w:rsidRDefault="00000000">
            <w:pPr>
              <w:jc w:val="center"/>
            </w:pPr>
            <w:r>
              <w:rPr>
                <w:color w:val="000000"/>
                <w:sz w:val="20"/>
                <w:szCs w:val="20"/>
              </w:rPr>
              <w:t>Yes</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74D4B08" w14:textId="77777777" w:rsidR="00D576C9" w:rsidRDefault="00000000">
            <w:pPr>
              <w:jc w:val="center"/>
            </w:pPr>
            <w:r>
              <w:rPr>
                <w:color w:val="000000"/>
                <w:sz w:val="20"/>
                <w:szCs w:val="20"/>
              </w:rPr>
              <w:t>Yes</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B44673F" w14:textId="77777777" w:rsidR="00D576C9" w:rsidRDefault="00000000">
            <w:pPr>
              <w:jc w:val="center"/>
            </w:pPr>
            <w:proofErr w:type="gramStart"/>
            <w:r>
              <w:rPr>
                <w:b/>
                <w:bCs/>
                <w:color w:val="000000"/>
                <w:sz w:val="20"/>
                <w:szCs w:val="20"/>
              </w:rPr>
              <w:t>AR(</w:t>
            </w:r>
            <w:proofErr w:type="gramEnd"/>
            <w:r>
              <w:rPr>
                <w:b/>
                <w:bCs/>
                <w:color w:val="000000"/>
                <w:sz w:val="20"/>
                <w:szCs w:val="20"/>
              </w:rPr>
              <w:t>2)</w:t>
            </w:r>
          </w:p>
        </w:tc>
        <w:tc>
          <w:tcPr>
            <w:tcW w:w="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A39A099" w14:textId="77777777" w:rsidR="00D576C9" w:rsidRDefault="00D576C9"/>
        </w:tc>
      </w:tr>
    </w:tbl>
    <w:p w14:paraId="5683E8BF" w14:textId="77777777" w:rsidR="00D576C9" w:rsidRDefault="00D576C9">
      <w:pPr>
        <w:spacing w:after="120"/>
      </w:pPr>
    </w:p>
    <w:p w14:paraId="1D84BF21" w14:textId="77777777" w:rsidR="00D576C9" w:rsidRDefault="00000000">
      <w:pPr>
        <w:pStyle w:val="Heading2"/>
      </w:pPr>
      <w:r>
        <w:t xml:space="preserve">5.4 Final Model: </w:t>
      </w:r>
      <w:proofErr w:type="gramStart"/>
      <w:r>
        <w:t>AR(</w:t>
      </w:r>
      <w:proofErr w:type="gramEnd"/>
      <w:r>
        <w:t>2)</w:t>
      </w:r>
    </w:p>
    <w:p w14:paraId="08A5235E" w14:textId="77777777" w:rsidR="00D576C9" w:rsidRDefault="00000000" w:rsidP="00A64816">
      <w:pPr>
        <w:spacing w:before="60" w:after="100" w:line="300" w:lineRule="auto"/>
        <w:jc w:val="both"/>
      </w:pPr>
      <w:proofErr w:type="gramStart"/>
      <w:r>
        <w:rPr>
          <w:color w:val="595959"/>
        </w:rPr>
        <w:t>AR(</w:t>
      </w:r>
      <w:proofErr w:type="gramEnd"/>
      <w:r>
        <w:rPr>
          <w:color w:val="595959"/>
        </w:rPr>
        <w:t xml:space="preserve">2) is selected as the optimal model. AIC is </w:t>
      </w:r>
      <w:proofErr w:type="spellStart"/>
      <w:r>
        <w:rPr>
          <w:color w:val="595959"/>
        </w:rPr>
        <w:t>minimised</w:t>
      </w:r>
      <w:proofErr w:type="spellEnd"/>
      <w:r>
        <w:rPr>
          <w:color w:val="595959"/>
        </w:rPr>
        <w:t xml:space="preserve"> at 5.7206. SIC </w:t>
      </w:r>
      <w:proofErr w:type="spellStart"/>
      <w:r>
        <w:rPr>
          <w:color w:val="595959"/>
        </w:rPr>
        <w:t>favours</w:t>
      </w:r>
      <w:proofErr w:type="spellEnd"/>
      <w:r>
        <w:rPr>
          <w:color w:val="595959"/>
        </w:rPr>
        <w:t xml:space="preserve"> </w:t>
      </w:r>
      <w:proofErr w:type="gramStart"/>
      <w:r>
        <w:rPr>
          <w:color w:val="595959"/>
        </w:rPr>
        <w:t>AR(</w:t>
      </w:r>
      <w:proofErr w:type="gramEnd"/>
      <w:r>
        <w:rPr>
          <w:color w:val="595959"/>
        </w:rPr>
        <w:t xml:space="preserve">1), but this reflects SIC's heavier parameter penalty — </w:t>
      </w:r>
      <w:proofErr w:type="gramStart"/>
      <w:r>
        <w:rPr>
          <w:color w:val="595959"/>
        </w:rPr>
        <w:t>AR(</w:t>
      </w:r>
      <w:proofErr w:type="gramEnd"/>
      <w:r>
        <w:rPr>
          <w:color w:val="595959"/>
        </w:rPr>
        <w:t xml:space="preserve">1)'s DW of 1.684 indicates residual autocorrelation, violating ARMA assumptions. The </w:t>
      </w:r>
      <w:proofErr w:type="gramStart"/>
      <w:r>
        <w:rPr>
          <w:color w:val="595959"/>
        </w:rPr>
        <w:t>ARMA(</w:t>
      </w:r>
      <w:proofErr w:type="gramEnd"/>
      <w:r>
        <w:rPr>
          <w:color w:val="595959"/>
        </w:rPr>
        <w:t xml:space="preserve">1,1) has insignificant coefficients for both AR and MA terms and is discarded. The residual correlogram of </w:t>
      </w:r>
      <w:proofErr w:type="gramStart"/>
      <w:r>
        <w:rPr>
          <w:color w:val="595959"/>
        </w:rPr>
        <w:t>AR(</w:t>
      </w:r>
      <w:proofErr w:type="gramEnd"/>
      <w:r>
        <w:rPr>
          <w:color w:val="595959"/>
        </w:rPr>
        <w:t>2) shows no significant Q-statistics from lag 3 through lag 16 (all p-values above 0.35), confirming white noise residuals. All inverted AR roots (0.37 +/- 0.31i, modulus approximately 0.48) lie inside the unit circle, confirming stationarity.</w:t>
      </w:r>
    </w:p>
    <w:p w14:paraId="424A8079" w14:textId="77777777" w:rsidR="00D576C9" w:rsidRDefault="00D576C9">
      <w:pPr>
        <w:spacing w:after="80"/>
      </w:pPr>
    </w:p>
    <w:p w14:paraId="3F2F8C0E" w14:textId="77777777" w:rsidR="00D576C9" w:rsidRDefault="00000000">
      <w:pPr>
        <w:spacing w:before="120" w:after="60"/>
        <w:jc w:val="center"/>
      </w:pPr>
      <w:proofErr w:type="spellStart"/>
      <w:r>
        <w:rPr>
          <w:b/>
          <w:bCs/>
          <w:color w:val="000000"/>
        </w:rPr>
        <w:t>CPI_INFLATION</w:t>
      </w:r>
      <w:r>
        <w:rPr>
          <w:sz w:val="18"/>
          <w:szCs w:val="18"/>
        </w:rPr>
        <w:t>t</w:t>
      </w:r>
      <w:proofErr w:type="spellEnd"/>
      <w:r>
        <w:t xml:space="preserve"> = 8.838 + 0.747 (CPI</w:t>
      </w:r>
      <w:r>
        <w:rPr>
          <w:sz w:val="18"/>
          <w:szCs w:val="18"/>
        </w:rPr>
        <w:t>t-1</w:t>
      </w:r>
      <w:r>
        <w:t>) - 0.237 (CPI</w:t>
      </w:r>
      <w:r>
        <w:rPr>
          <w:sz w:val="18"/>
          <w:szCs w:val="18"/>
        </w:rPr>
        <w:t>t-2</w:t>
      </w:r>
      <w:r>
        <w:t xml:space="preserve">) + </w:t>
      </w:r>
      <w:proofErr w:type="spellStart"/>
      <w:r>
        <w:t>ε</w:t>
      </w:r>
      <w:r>
        <w:rPr>
          <w:sz w:val="18"/>
          <w:szCs w:val="18"/>
        </w:rPr>
        <w:t>t</w:t>
      </w:r>
      <w:proofErr w:type="spellEnd"/>
    </w:p>
    <w:p w14:paraId="1E1CD6B8" w14:textId="77777777" w:rsidR="00D576C9" w:rsidRDefault="00D576C9" w:rsidP="00A64816">
      <w:pPr>
        <w:spacing w:after="80"/>
        <w:jc w:val="both"/>
      </w:pPr>
    </w:p>
    <w:p w14:paraId="53661E52" w14:textId="77777777" w:rsidR="00D576C9" w:rsidRDefault="00000000" w:rsidP="00A64816">
      <w:pPr>
        <w:spacing w:before="60" w:after="100" w:line="300" w:lineRule="auto"/>
        <w:jc w:val="both"/>
      </w:pPr>
      <w:r>
        <w:rPr>
          <w:color w:val="595959"/>
        </w:rPr>
        <w:t xml:space="preserve">The AR(1) coefficient (0.747, p &lt; 0.001) confirms strong positive persistence — high inflation this year predicts high inflation next year. The </w:t>
      </w:r>
      <w:proofErr w:type="gramStart"/>
      <w:r>
        <w:rPr>
          <w:color w:val="595959"/>
        </w:rPr>
        <w:t>AR(</w:t>
      </w:r>
      <w:proofErr w:type="gramEnd"/>
      <w:r>
        <w:rPr>
          <w:color w:val="595959"/>
        </w:rPr>
        <w:t>2) coefficient (-0.237, p = 0.048) introduces partial mean reversion at a two-year horizon. The implied long-run mean of the process is approximately 18% (calculated as constant / (1 - phi1 - phi2) = 8.838 / (1 - 0.747 + 0.237) = 8.838 / 0.490). The reader is advised to verify this arithmetic independently, as the author cannot guarantee precision without recalculation.</w:t>
      </w:r>
    </w:p>
    <w:p w14:paraId="0FA60297" w14:textId="77777777" w:rsidR="00D576C9" w:rsidRDefault="00D576C9">
      <w:pPr>
        <w:spacing w:after="120"/>
      </w:pPr>
    </w:p>
    <w:p w14:paraId="6EBE0350" w14:textId="77777777" w:rsidR="00D576C9" w:rsidRDefault="00000000">
      <w:pPr>
        <w:pStyle w:val="Heading1"/>
        <w:pBdr>
          <w:bottom w:val="single" w:sz="6" w:space="4" w:color="2E75B6"/>
        </w:pBdr>
      </w:pPr>
      <w:r>
        <w:t>6. Vector Autoregression (VAR)</w:t>
      </w:r>
    </w:p>
    <w:p w14:paraId="0A921791" w14:textId="77777777" w:rsidR="00D576C9" w:rsidRDefault="00000000" w:rsidP="00B47808">
      <w:pPr>
        <w:pStyle w:val="Heading2"/>
        <w:jc w:val="both"/>
      </w:pPr>
      <w:r>
        <w:t>6.1 Variable Set and Rationale</w:t>
      </w:r>
    </w:p>
    <w:p w14:paraId="219EC0C3" w14:textId="77777777" w:rsidR="00D576C9" w:rsidRDefault="00000000" w:rsidP="00B47808">
      <w:pPr>
        <w:spacing w:before="60" w:after="100" w:line="300" w:lineRule="auto"/>
        <w:jc w:val="both"/>
      </w:pPr>
      <w:r>
        <w:rPr>
          <w:color w:val="595959"/>
        </w:rPr>
        <w:t>The VAR is estimated using the four stationary (</w:t>
      </w:r>
      <w:proofErr w:type="gramStart"/>
      <w:r>
        <w:rPr>
          <w:color w:val="595959"/>
        </w:rPr>
        <w:t>I(</w:t>
      </w:r>
      <w:proofErr w:type="gramEnd"/>
      <w:r>
        <w:rPr>
          <w:color w:val="595959"/>
        </w:rPr>
        <w:t>0)) series: CPI_INFLATION, M2_GROWTH (= D(LOG_M</w:t>
      </w:r>
      <w:proofErr w:type="gramStart"/>
      <w:r>
        <w:rPr>
          <w:color w:val="595959"/>
        </w:rPr>
        <w:t>2)*</w:t>
      </w:r>
      <w:proofErr w:type="gramEnd"/>
      <w:r>
        <w:rPr>
          <w:color w:val="595959"/>
        </w:rPr>
        <w:t>100), GOVT_GROWTH (= D(LOG_</w:t>
      </w:r>
      <w:proofErr w:type="gramStart"/>
      <w:r>
        <w:rPr>
          <w:color w:val="595959"/>
        </w:rPr>
        <w:t>GOVT)*</w:t>
      </w:r>
      <w:proofErr w:type="gramEnd"/>
      <w:r>
        <w:rPr>
          <w:color w:val="595959"/>
        </w:rPr>
        <w:t>100), and EX_GROWTH (= D(LOG_</w:t>
      </w:r>
      <w:proofErr w:type="gramStart"/>
      <w:r>
        <w:rPr>
          <w:color w:val="595959"/>
        </w:rPr>
        <w:t>EX)*</w:t>
      </w:r>
      <w:proofErr w:type="gramEnd"/>
      <w:r>
        <w:rPr>
          <w:color w:val="595959"/>
        </w:rPr>
        <w:t xml:space="preserve">100). These growth rate transformations are consistent with the </w:t>
      </w:r>
      <w:proofErr w:type="gramStart"/>
      <w:r>
        <w:rPr>
          <w:color w:val="595959"/>
        </w:rPr>
        <w:t>I(</w:t>
      </w:r>
      <w:proofErr w:type="gramEnd"/>
      <w:r>
        <w:rPr>
          <w:color w:val="595959"/>
        </w:rPr>
        <w:t>1) classification of the underlying levels series. The sample after adjustments covers 1978-2020 (43 observations after lag adjustments).</w:t>
      </w:r>
    </w:p>
    <w:p w14:paraId="6255BD53" w14:textId="77777777" w:rsidR="00D576C9" w:rsidRDefault="00000000" w:rsidP="00B47808">
      <w:pPr>
        <w:spacing w:before="60" w:after="100" w:line="300" w:lineRule="auto"/>
        <w:jc w:val="both"/>
      </w:pPr>
      <w:r>
        <w:rPr>
          <w:color w:val="595959"/>
        </w:rPr>
        <w:t>Unlike single-equation models, VAR treats all variables symmetrically — each variable is regressed on lagged values of all variables in the system. This permits testing for dynamic interdependencies and Granger causality without imposing prior assumptions about the direction of causality.</w:t>
      </w:r>
    </w:p>
    <w:p w14:paraId="0E4CF3BE" w14:textId="77777777" w:rsidR="00D576C9" w:rsidRDefault="00000000">
      <w:pPr>
        <w:pStyle w:val="Heading2"/>
      </w:pPr>
      <w:r>
        <w:t>6.2 Lag Length Selection</w:t>
      </w:r>
    </w:p>
    <w:p w14:paraId="392F8AA7" w14:textId="77777777" w:rsidR="00D576C9" w:rsidRDefault="00D576C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
        <w:gridCol w:w="1408"/>
        <w:gridCol w:w="1453"/>
        <w:gridCol w:w="1431"/>
        <w:gridCol w:w="1431"/>
        <w:gridCol w:w="1431"/>
        <w:gridCol w:w="1258"/>
      </w:tblGrid>
      <w:tr w:rsidR="00D576C9" w14:paraId="0EC44D45" w14:textId="77777777">
        <w:tblPrEx>
          <w:tblCellMar>
            <w:top w:w="0" w:type="dxa"/>
            <w:bottom w:w="0" w:type="dxa"/>
          </w:tblCellMar>
        </w:tblPrEx>
        <w:trPr>
          <w:tblHeader/>
        </w:trPr>
        <w:tc>
          <w:tcPr>
            <w:tcW w:w="1040" w:type="dxa"/>
            <w:tcBorders>
              <w:top w:val="single" w:sz="4" w:space="0" w:color="2E75B6"/>
              <w:left w:val="single" w:sz="1" w:space="0" w:color="AAAAAA"/>
              <w:bottom w:val="single" w:sz="4" w:space="0" w:color="2E75B6"/>
              <w:right w:val="single" w:sz="1" w:space="0" w:color="AAAAAA"/>
            </w:tcBorders>
            <w:shd w:val="clear" w:color="auto" w:fill="1F4E79"/>
            <w:tcMar>
              <w:top w:w="80" w:type="dxa"/>
              <w:left w:w="120" w:type="dxa"/>
              <w:bottom w:w="80" w:type="dxa"/>
              <w:right w:w="120" w:type="dxa"/>
            </w:tcMar>
            <w:vAlign w:val="center"/>
          </w:tcPr>
          <w:p w14:paraId="6FE6FF35" w14:textId="77777777" w:rsidR="00D576C9" w:rsidRDefault="00000000">
            <w:r>
              <w:rPr>
                <w:b/>
                <w:bCs/>
                <w:color w:val="FFFFFF"/>
                <w:sz w:val="20"/>
                <w:szCs w:val="20"/>
              </w:rPr>
              <w:t>Lag</w:t>
            </w:r>
          </w:p>
        </w:tc>
        <w:tc>
          <w:tcPr>
            <w:tcW w:w="1560" w:type="dxa"/>
            <w:tcBorders>
              <w:top w:val="single" w:sz="4" w:space="0" w:color="2E75B6"/>
              <w:left w:val="single" w:sz="1" w:space="0" w:color="AAAAAA"/>
              <w:bottom w:val="single" w:sz="4" w:space="0" w:color="2E75B6"/>
              <w:right w:val="single" w:sz="1" w:space="0" w:color="AAAAAA"/>
            </w:tcBorders>
            <w:shd w:val="clear" w:color="auto" w:fill="1F4E79"/>
            <w:tcMar>
              <w:top w:w="80" w:type="dxa"/>
              <w:left w:w="120" w:type="dxa"/>
              <w:bottom w:w="80" w:type="dxa"/>
              <w:right w:w="120" w:type="dxa"/>
            </w:tcMar>
            <w:vAlign w:val="center"/>
          </w:tcPr>
          <w:p w14:paraId="0BD98C98" w14:textId="77777777" w:rsidR="00D576C9" w:rsidRDefault="00000000">
            <w:r>
              <w:rPr>
                <w:b/>
                <w:bCs/>
                <w:color w:val="FFFFFF"/>
                <w:sz w:val="20"/>
                <w:szCs w:val="20"/>
              </w:rPr>
              <w:t>LR</w:t>
            </w:r>
          </w:p>
        </w:tc>
        <w:tc>
          <w:tcPr>
            <w:tcW w:w="1560" w:type="dxa"/>
            <w:tcBorders>
              <w:top w:val="single" w:sz="4" w:space="0" w:color="2E75B6"/>
              <w:left w:val="single" w:sz="1" w:space="0" w:color="AAAAAA"/>
              <w:bottom w:val="single" w:sz="4" w:space="0" w:color="2E75B6"/>
              <w:right w:val="single" w:sz="1" w:space="0" w:color="AAAAAA"/>
            </w:tcBorders>
            <w:shd w:val="clear" w:color="auto" w:fill="1F4E79"/>
            <w:tcMar>
              <w:top w:w="80" w:type="dxa"/>
              <w:left w:w="120" w:type="dxa"/>
              <w:bottom w:w="80" w:type="dxa"/>
              <w:right w:w="120" w:type="dxa"/>
            </w:tcMar>
            <w:vAlign w:val="center"/>
          </w:tcPr>
          <w:p w14:paraId="33F34BE8" w14:textId="77777777" w:rsidR="00D576C9" w:rsidRDefault="00000000">
            <w:r>
              <w:rPr>
                <w:b/>
                <w:bCs/>
                <w:color w:val="FFFFFF"/>
                <w:sz w:val="20"/>
                <w:szCs w:val="20"/>
              </w:rPr>
              <w:t>FPE</w:t>
            </w:r>
          </w:p>
        </w:tc>
        <w:tc>
          <w:tcPr>
            <w:tcW w:w="1560" w:type="dxa"/>
            <w:tcBorders>
              <w:top w:val="single" w:sz="4" w:space="0" w:color="2E75B6"/>
              <w:left w:val="single" w:sz="1" w:space="0" w:color="AAAAAA"/>
              <w:bottom w:val="single" w:sz="4" w:space="0" w:color="2E75B6"/>
              <w:right w:val="single" w:sz="1" w:space="0" w:color="AAAAAA"/>
            </w:tcBorders>
            <w:shd w:val="clear" w:color="auto" w:fill="1F4E79"/>
            <w:tcMar>
              <w:top w:w="80" w:type="dxa"/>
              <w:left w:w="120" w:type="dxa"/>
              <w:bottom w:w="80" w:type="dxa"/>
              <w:right w:w="120" w:type="dxa"/>
            </w:tcMar>
            <w:vAlign w:val="center"/>
          </w:tcPr>
          <w:p w14:paraId="17B3CEF6" w14:textId="77777777" w:rsidR="00D576C9" w:rsidRDefault="00000000">
            <w:r>
              <w:rPr>
                <w:b/>
                <w:bCs/>
                <w:color w:val="FFFFFF"/>
                <w:sz w:val="20"/>
                <w:szCs w:val="20"/>
              </w:rPr>
              <w:t>AIC</w:t>
            </w:r>
          </w:p>
        </w:tc>
        <w:tc>
          <w:tcPr>
            <w:tcW w:w="1560" w:type="dxa"/>
            <w:tcBorders>
              <w:top w:val="single" w:sz="4" w:space="0" w:color="2E75B6"/>
              <w:left w:val="single" w:sz="1" w:space="0" w:color="AAAAAA"/>
              <w:bottom w:val="single" w:sz="4" w:space="0" w:color="2E75B6"/>
              <w:right w:val="single" w:sz="1" w:space="0" w:color="AAAAAA"/>
            </w:tcBorders>
            <w:shd w:val="clear" w:color="auto" w:fill="1F4E79"/>
            <w:tcMar>
              <w:top w:w="80" w:type="dxa"/>
              <w:left w:w="120" w:type="dxa"/>
              <w:bottom w:w="80" w:type="dxa"/>
              <w:right w:w="120" w:type="dxa"/>
            </w:tcMar>
            <w:vAlign w:val="center"/>
          </w:tcPr>
          <w:p w14:paraId="68177860" w14:textId="77777777" w:rsidR="00D576C9" w:rsidRDefault="00000000">
            <w:r>
              <w:rPr>
                <w:b/>
                <w:bCs/>
                <w:color w:val="FFFFFF"/>
                <w:sz w:val="20"/>
                <w:szCs w:val="20"/>
              </w:rPr>
              <w:t>SC</w:t>
            </w:r>
          </w:p>
        </w:tc>
        <w:tc>
          <w:tcPr>
            <w:tcW w:w="1560" w:type="dxa"/>
            <w:tcBorders>
              <w:top w:val="single" w:sz="4" w:space="0" w:color="2E75B6"/>
              <w:left w:val="single" w:sz="1" w:space="0" w:color="AAAAAA"/>
              <w:bottom w:val="single" w:sz="4" w:space="0" w:color="2E75B6"/>
              <w:right w:val="single" w:sz="1" w:space="0" w:color="AAAAAA"/>
            </w:tcBorders>
            <w:shd w:val="clear" w:color="auto" w:fill="1F4E79"/>
            <w:tcMar>
              <w:top w:w="80" w:type="dxa"/>
              <w:left w:w="120" w:type="dxa"/>
              <w:bottom w:w="80" w:type="dxa"/>
              <w:right w:w="120" w:type="dxa"/>
            </w:tcMar>
            <w:vAlign w:val="center"/>
          </w:tcPr>
          <w:p w14:paraId="6771DFE0" w14:textId="77777777" w:rsidR="00D576C9" w:rsidRDefault="00000000">
            <w:r>
              <w:rPr>
                <w:b/>
                <w:bCs/>
                <w:color w:val="FFFFFF"/>
                <w:sz w:val="20"/>
                <w:szCs w:val="20"/>
              </w:rPr>
              <w:t>HQ</w:t>
            </w:r>
          </w:p>
        </w:tc>
        <w:tc>
          <w:tcPr>
            <w:tcW w:w="1520" w:type="dxa"/>
            <w:tcBorders>
              <w:top w:val="single" w:sz="4" w:space="0" w:color="2E75B6"/>
              <w:left w:val="single" w:sz="1" w:space="0" w:color="AAAAAA"/>
              <w:bottom w:val="single" w:sz="4" w:space="0" w:color="2E75B6"/>
              <w:right w:val="single" w:sz="1" w:space="0" w:color="AAAAAA"/>
            </w:tcBorders>
            <w:shd w:val="clear" w:color="auto" w:fill="1F4E79"/>
            <w:tcMar>
              <w:top w:w="80" w:type="dxa"/>
              <w:left w:w="120" w:type="dxa"/>
              <w:bottom w:w="80" w:type="dxa"/>
              <w:right w:w="120" w:type="dxa"/>
            </w:tcMar>
            <w:vAlign w:val="center"/>
          </w:tcPr>
          <w:p w14:paraId="16A68EE3" w14:textId="77777777" w:rsidR="00D576C9" w:rsidRDefault="00D576C9"/>
        </w:tc>
      </w:tr>
      <w:tr w:rsidR="00D576C9" w14:paraId="45C80CCF" w14:textId="77777777">
        <w:tblPrEx>
          <w:tblCellMar>
            <w:top w:w="0" w:type="dxa"/>
            <w:bottom w:w="0" w:type="dxa"/>
          </w:tblCellMar>
        </w:tblPrEx>
        <w:tc>
          <w:tcPr>
            <w:tcW w:w="1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D50964" w14:textId="77777777" w:rsidR="00D576C9" w:rsidRDefault="00000000">
            <w:pPr>
              <w:jc w:val="center"/>
            </w:pPr>
            <w:r>
              <w:rPr>
                <w:color w:val="000000"/>
                <w:sz w:val="20"/>
                <w:szCs w:val="20"/>
              </w:rPr>
              <w:t>0</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D5F314" w14:textId="77777777" w:rsidR="00D576C9" w:rsidRDefault="00000000">
            <w:pPr>
              <w:jc w:val="center"/>
            </w:pPr>
            <w:r>
              <w:rPr>
                <w:color w:val="000000"/>
                <w:sz w:val="20"/>
                <w:szCs w:val="20"/>
              </w:rPr>
              <w:t>—</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DB377B" w14:textId="77777777" w:rsidR="00D576C9" w:rsidRDefault="00000000">
            <w:pPr>
              <w:jc w:val="center"/>
            </w:pPr>
            <w:r>
              <w:rPr>
                <w:color w:val="000000"/>
                <w:sz w:val="20"/>
                <w:szCs w:val="20"/>
              </w:rPr>
              <w:t>178,939</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EC5522" w14:textId="77777777" w:rsidR="00D576C9" w:rsidRDefault="00000000">
            <w:pPr>
              <w:jc w:val="center"/>
            </w:pPr>
            <w:r>
              <w:rPr>
                <w:color w:val="000000"/>
                <w:sz w:val="20"/>
                <w:szCs w:val="20"/>
              </w:rPr>
              <w:t>23.447</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18ABEF6" w14:textId="77777777" w:rsidR="00D576C9" w:rsidRDefault="00000000">
            <w:pPr>
              <w:jc w:val="center"/>
            </w:pPr>
            <w:r>
              <w:rPr>
                <w:b/>
                <w:bCs/>
                <w:color w:val="000000"/>
                <w:sz w:val="20"/>
                <w:szCs w:val="20"/>
              </w:rPr>
              <w:t>23.615*</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CCB364" w14:textId="77777777" w:rsidR="00D576C9" w:rsidRDefault="00000000">
            <w:pPr>
              <w:jc w:val="center"/>
            </w:pPr>
            <w:r>
              <w:rPr>
                <w:b/>
                <w:bCs/>
                <w:color w:val="000000"/>
                <w:sz w:val="20"/>
                <w:szCs w:val="20"/>
              </w:rPr>
              <w:t>23.508*</w:t>
            </w:r>
          </w:p>
        </w:tc>
        <w:tc>
          <w:tcPr>
            <w:tcW w:w="1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0ADCDF" w14:textId="77777777" w:rsidR="00D576C9" w:rsidRDefault="00D576C9"/>
        </w:tc>
      </w:tr>
      <w:tr w:rsidR="00D576C9" w14:paraId="5C088B9A" w14:textId="77777777">
        <w:tblPrEx>
          <w:tblCellMar>
            <w:top w:w="0" w:type="dxa"/>
            <w:bottom w:w="0" w:type="dxa"/>
          </w:tblCellMar>
        </w:tblPrEx>
        <w:tc>
          <w:tcPr>
            <w:tcW w:w="10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6A04B13" w14:textId="77777777" w:rsidR="00D576C9" w:rsidRDefault="00000000">
            <w:pPr>
              <w:jc w:val="center"/>
            </w:pPr>
            <w:r>
              <w:rPr>
                <w:color w:val="000000"/>
                <w:sz w:val="20"/>
                <w:szCs w:val="20"/>
              </w:rPr>
              <w:t>1</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E6CE4A0" w14:textId="77777777" w:rsidR="00D576C9" w:rsidRDefault="00000000">
            <w:pPr>
              <w:jc w:val="center"/>
            </w:pPr>
            <w:r>
              <w:rPr>
                <w:b/>
                <w:bCs/>
                <w:color w:val="000000"/>
                <w:sz w:val="20"/>
                <w:szCs w:val="20"/>
              </w:rPr>
              <w:t>29.97*</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28BCE53" w14:textId="77777777" w:rsidR="00D576C9" w:rsidRDefault="00000000">
            <w:pPr>
              <w:jc w:val="center"/>
            </w:pPr>
            <w:r>
              <w:rPr>
                <w:b/>
                <w:bCs/>
                <w:color w:val="000000"/>
                <w:sz w:val="20"/>
                <w:szCs w:val="20"/>
              </w:rPr>
              <w:t>170,024*</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8773E44" w14:textId="77777777" w:rsidR="00D576C9" w:rsidRDefault="00000000">
            <w:pPr>
              <w:jc w:val="center"/>
            </w:pPr>
            <w:r>
              <w:rPr>
                <w:b/>
                <w:bCs/>
                <w:color w:val="000000"/>
                <w:sz w:val="20"/>
                <w:szCs w:val="20"/>
              </w:rPr>
              <w:t>23.390*</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19C70B4" w14:textId="77777777" w:rsidR="00D576C9" w:rsidRDefault="00000000">
            <w:pPr>
              <w:jc w:val="center"/>
            </w:pPr>
            <w:r>
              <w:rPr>
                <w:color w:val="000000"/>
                <w:sz w:val="20"/>
                <w:szCs w:val="20"/>
              </w:rPr>
              <w:t>24.239</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99C4D21" w14:textId="77777777" w:rsidR="00D576C9" w:rsidRDefault="00000000">
            <w:pPr>
              <w:jc w:val="center"/>
            </w:pPr>
            <w:r>
              <w:rPr>
                <w:color w:val="000000"/>
                <w:sz w:val="20"/>
                <w:szCs w:val="20"/>
              </w:rPr>
              <w:t>23.695</w:t>
            </w:r>
          </w:p>
        </w:tc>
        <w:tc>
          <w:tcPr>
            <w:tcW w:w="15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C47DD7B" w14:textId="77777777" w:rsidR="00D576C9" w:rsidRDefault="00D576C9"/>
        </w:tc>
      </w:tr>
      <w:tr w:rsidR="00D576C9" w14:paraId="57282F69" w14:textId="77777777">
        <w:tblPrEx>
          <w:tblCellMar>
            <w:top w:w="0" w:type="dxa"/>
            <w:bottom w:w="0" w:type="dxa"/>
          </w:tblCellMar>
        </w:tblPrEx>
        <w:tc>
          <w:tcPr>
            <w:tcW w:w="1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EE07D91" w14:textId="77777777" w:rsidR="00D576C9" w:rsidRDefault="00000000">
            <w:pPr>
              <w:jc w:val="center"/>
            </w:pPr>
            <w:r>
              <w:rPr>
                <w:color w:val="000000"/>
                <w:sz w:val="20"/>
                <w:szCs w:val="20"/>
              </w:rPr>
              <w:t>2</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3E0FBA" w14:textId="77777777" w:rsidR="00D576C9" w:rsidRDefault="00000000">
            <w:pPr>
              <w:jc w:val="center"/>
            </w:pPr>
            <w:r>
              <w:rPr>
                <w:color w:val="000000"/>
                <w:sz w:val="20"/>
                <w:szCs w:val="20"/>
              </w:rPr>
              <w:t>10.52</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EE0334" w14:textId="77777777" w:rsidR="00D576C9" w:rsidRDefault="00000000">
            <w:pPr>
              <w:jc w:val="center"/>
            </w:pPr>
            <w:r>
              <w:rPr>
                <w:color w:val="000000"/>
                <w:sz w:val="20"/>
                <w:szCs w:val="20"/>
              </w:rPr>
              <w:t>276,614</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FD90F2" w14:textId="77777777" w:rsidR="00D576C9" w:rsidRDefault="00000000">
            <w:pPr>
              <w:jc w:val="center"/>
            </w:pPr>
            <w:r>
              <w:rPr>
                <w:color w:val="000000"/>
                <w:sz w:val="20"/>
                <w:szCs w:val="20"/>
              </w:rPr>
              <w:t>23.851</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AE7073" w14:textId="77777777" w:rsidR="00D576C9" w:rsidRDefault="00000000">
            <w:pPr>
              <w:jc w:val="center"/>
            </w:pPr>
            <w:r>
              <w:rPr>
                <w:color w:val="000000"/>
                <w:sz w:val="20"/>
                <w:szCs w:val="20"/>
              </w:rPr>
              <w:t>25.371</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1CD222" w14:textId="77777777" w:rsidR="00D576C9" w:rsidRDefault="00000000">
            <w:pPr>
              <w:jc w:val="center"/>
            </w:pPr>
            <w:r>
              <w:rPr>
                <w:color w:val="000000"/>
                <w:sz w:val="20"/>
                <w:szCs w:val="20"/>
              </w:rPr>
              <w:t>24.400</w:t>
            </w:r>
          </w:p>
        </w:tc>
        <w:tc>
          <w:tcPr>
            <w:tcW w:w="1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B61AA0" w14:textId="77777777" w:rsidR="00D576C9" w:rsidRDefault="00D576C9"/>
        </w:tc>
      </w:tr>
    </w:tbl>
    <w:p w14:paraId="3BAFAD54" w14:textId="77777777" w:rsidR="00D576C9" w:rsidRDefault="00D576C9">
      <w:pPr>
        <w:spacing w:after="100"/>
      </w:pPr>
    </w:p>
    <w:p w14:paraId="5D9955B7" w14:textId="77777777" w:rsidR="00D576C9" w:rsidRDefault="00000000" w:rsidP="007F70F8">
      <w:pPr>
        <w:spacing w:before="60" w:after="100" w:line="300" w:lineRule="auto"/>
        <w:jc w:val="both"/>
        <w:rPr>
          <w:color w:val="595959"/>
        </w:rPr>
      </w:pPr>
      <w:r>
        <w:rPr>
          <w:color w:val="595959"/>
        </w:rPr>
        <w:t xml:space="preserve">* = selected by criterion. Three criteria (LR, FPE, AIC) select lag 1. SC and HQ select lag 0, which implies no lagged regressors — economically implausible for a dynamic macro system. </w:t>
      </w:r>
      <w:proofErr w:type="gramStart"/>
      <w:r>
        <w:rPr>
          <w:color w:val="595959"/>
        </w:rPr>
        <w:t>VAR(</w:t>
      </w:r>
      <w:proofErr w:type="gramEnd"/>
      <w:r>
        <w:rPr>
          <w:color w:val="595959"/>
        </w:rPr>
        <w:t>1) is selected on the basis of the LR, FPE, and AIC consensus and economic reasoning. This choice is also consistent with preserving degrees of freedom given 43 observations and 4 variables (</w:t>
      </w:r>
      <w:proofErr w:type="gramStart"/>
      <w:r>
        <w:rPr>
          <w:color w:val="595959"/>
        </w:rPr>
        <w:t>VAR(</w:t>
      </w:r>
      <w:proofErr w:type="gramEnd"/>
      <w:r>
        <w:rPr>
          <w:color w:val="595959"/>
        </w:rPr>
        <w:t>1) requires 20 estimated parameters total).</w:t>
      </w:r>
    </w:p>
    <w:p w14:paraId="5D9FCC82" w14:textId="77777777" w:rsidR="0071484A" w:rsidRDefault="0071484A" w:rsidP="007F70F8">
      <w:pPr>
        <w:spacing w:before="60" w:after="100" w:line="300" w:lineRule="auto"/>
        <w:jc w:val="both"/>
        <w:rPr>
          <w:color w:val="595959"/>
        </w:rPr>
      </w:pPr>
    </w:p>
    <w:p w14:paraId="71DE7216" w14:textId="77777777" w:rsidR="0071484A" w:rsidRDefault="0071484A" w:rsidP="007F70F8">
      <w:pPr>
        <w:spacing w:before="60" w:after="100" w:line="300" w:lineRule="auto"/>
        <w:jc w:val="both"/>
      </w:pPr>
    </w:p>
    <w:p w14:paraId="5E7A4464" w14:textId="77777777" w:rsidR="00D576C9" w:rsidRDefault="00000000">
      <w:pPr>
        <w:pStyle w:val="Heading2"/>
      </w:pPr>
      <w:r>
        <w:lastRenderedPageBreak/>
        <w:t>6.3 Granger Causality Results</w:t>
      </w:r>
    </w:p>
    <w:p w14:paraId="139E9449" w14:textId="77777777" w:rsidR="00D576C9" w:rsidRDefault="00000000" w:rsidP="0071484A">
      <w:pPr>
        <w:spacing w:before="60" w:after="100" w:line="300" w:lineRule="auto"/>
        <w:jc w:val="both"/>
      </w:pPr>
      <w:r>
        <w:rPr>
          <w:color w:val="595959"/>
        </w:rPr>
        <w:t xml:space="preserve">The Block Exogeneity Wald test jointly tests whether all lags of an excluded variable are zero in a given equation. Results are </w:t>
      </w:r>
      <w:proofErr w:type="spellStart"/>
      <w:r>
        <w:rPr>
          <w:color w:val="595959"/>
        </w:rPr>
        <w:t>summarised</w:t>
      </w:r>
      <w:proofErr w:type="spellEnd"/>
      <w:r>
        <w:rPr>
          <w:color w:val="595959"/>
        </w:rPr>
        <w:t xml:space="preserve"> below.</w:t>
      </w:r>
    </w:p>
    <w:p w14:paraId="45AB73D5" w14:textId="77777777" w:rsidR="00D576C9" w:rsidRDefault="00D576C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0"/>
        <w:gridCol w:w="2680"/>
        <w:gridCol w:w="1560"/>
        <w:gridCol w:w="2440"/>
      </w:tblGrid>
      <w:tr w:rsidR="00D576C9" w14:paraId="5AD9CB4C" w14:textId="77777777">
        <w:tblPrEx>
          <w:tblCellMar>
            <w:top w:w="0" w:type="dxa"/>
            <w:bottom w:w="0" w:type="dxa"/>
          </w:tblCellMar>
        </w:tblPrEx>
        <w:trPr>
          <w:tblHeader/>
        </w:trPr>
        <w:tc>
          <w:tcPr>
            <w:tcW w:w="2680" w:type="dxa"/>
            <w:tcBorders>
              <w:top w:val="single" w:sz="4" w:space="0" w:color="2E75B6"/>
              <w:left w:val="single" w:sz="1" w:space="0" w:color="AAAAAA"/>
              <w:bottom w:val="single" w:sz="4" w:space="0" w:color="2E75B6"/>
              <w:right w:val="single" w:sz="1" w:space="0" w:color="AAAAAA"/>
            </w:tcBorders>
            <w:shd w:val="clear" w:color="auto" w:fill="1F4E79"/>
            <w:tcMar>
              <w:top w:w="80" w:type="dxa"/>
              <w:left w:w="120" w:type="dxa"/>
              <w:bottom w:w="80" w:type="dxa"/>
              <w:right w:w="120" w:type="dxa"/>
            </w:tcMar>
            <w:vAlign w:val="center"/>
          </w:tcPr>
          <w:p w14:paraId="5D879EE0" w14:textId="77777777" w:rsidR="00D576C9" w:rsidRDefault="00000000">
            <w:r>
              <w:rPr>
                <w:b/>
                <w:bCs/>
                <w:color w:val="FFFFFF"/>
                <w:sz w:val="20"/>
                <w:szCs w:val="20"/>
              </w:rPr>
              <w:t>Dependent Variable</w:t>
            </w:r>
          </w:p>
        </w:tc>
        <w:tc>
          <w:tcPr>
            <w:tcW w:w="2680" w:type="dxa"/>
            <w:tcBorders>
              <w:top w:val="single" w:sz="4" w:space="0" w:color="2E75B6"/>
              <w:left w:val="single" w:sz="1" w:space="0" w:color="AAAAAA"/>
              <w:bottom w:val="single" w:sz="4" w:space="0" w:color="2E75B6"/>
              <w:right w:val="single" w:sz="1" w:space="0" w:color="AAAAAA"/>
            </w:tcBorders>
            <w:shd w:val="clear" w:color="auto" w:fill="1F4E79"/>
            <w:tcMar>
              <w:top w:w="80" w:type="dxa"/>
              <w:left w:w="120" w:type="dxa"/>
              <w:bottom w:w="80" w:type="dxa"/>
              <w:right w:w="120" w:type="dxa"/>
            </w:tcMar>
            <w:vAlign w:val="center"/>
          </w:tcPr>
          <w:p w14:paraId="36E6D1D0" w14:textId="77777777" w:rsidR="00D576C9" w:rsidRDefault="00000000">
            <w:r>
              <w:rPr>
                <w:b/>
                <w:bCs/>
                <w:color w:val="FFFFFF"/>
                <w:sz w:val="20"/>
                <w:szCs w:val="20"/>
              </w:rPr>
              <w:t>Excluded Variable</w:t>
            </w:r>
          </w:p>
        </w:tc>
        <w:tc>
          <w:tcPr>
            <w:tcW w:w="1560" w:type="dxa"/>
            <w:tcBorders>
              <w:top w:val="single" w:sz="4" w:space="0" w:color="2E75B6"/>
              <w:left w:val="single" w:sz="1" w:space="0" w:color="AAAAAA"/>
              <w:bottom w:val="single" w:sz="4" w:space="0" w:color="2E75B6"/>
              <w:right w:val="single" w:sz="1" w:space="0" w:color="AAAAAA"/>
            </w:tcBorders>
            <w:shd w:val="clear" w:color="auto" w:fill="1F4E79"/>
            <w:tcMar>
              <w:top w:w="80" w:type="dxa"/>
              <w:left w:w="120" w:type="dxa"/>
              <w:bottom w:w="80" w:type="dxa"/>
              <w:right w:w="120" w:type="dxa"/>
            </w:tcMar>
            <w:vAlign w:val="center"/>
          </w:tcPr>
          <w:p w14:paraId="500BFB9E" w14:textId="77777777" w:rsidR="00D576C9" w:rsidRDefault="00000000">
            <w:r>
              <w:rPr>
                <w:b/>
                <w:bCs/>
                <w:color w:val="FFFFFF"/>
                <w:sz w:val="20"/>
                <w:szCs w:val="20"/>
              </w:rPr>
              <w:t>p-value</w:t>
            </w:r>
          </w:p>
        </w:tc>
        <w:tc>
          <w:tcPr>
            <w:tcW w:w="2440" w:type="dxa"/>
            <w:tcBorders>
              <w:top w:val="single" w:sz="4" w:space="0" w:color="2E75B6"/>
              <w:left w:val="single" w:sz="1" w:space="0" w:color="AAAAAA"/>
              <w:bottom w:val="single" w:sz="4" w:space="0" w:color="2E75B6"/>
              <w:right w:val="single" w:sz="1" w:space="0" w:color="AAAAAA"/>
            </w:tcBorders>
            <w:shd w:val="clear" w:color="auto" w:fill="1F4E79"/>
            <w:tcMar>
              <w:top w:w="80" w:type="dxa"/>
              <w:left w:w="120" w:type="dxa"/>
              <w:bottom w:w="80" w:type="dxa"/>
              <w:right w:w="120" w:type="dxa"/>
            </w:tcMar>
            <w:vAlign w:val="center"/>
          </w:tcPr>
          <w:p w14:paraId="76C0BB2E" w14:textId="77777777" w:rsidR="00D576C9" w:rsidRDefault="00000000">
            <w:r>
              <w:rPr>
                <w:b/>
                <w:bCs/>
                <w:color w:val="FFFFFF"/>
                <w:sz w:val="20"/>
                <w:szCs w:val="20"/>
              </w:rPr>
              <w:t>Conclusion</w:t>
            </w:r>
          </w:p>
        </w:tc>
      </w:tr>
      <w:tr w:rsidR="00D576C9" w14:paraId="3A4DC254" w14:textId="77777777">
        <w:tblPrEx>
          <w:tblCellMar>
            <w:top w:w="0" w:type="dxa"/>
            <w:bottom w:w="0" w:type="dxa"/>
          </w:tblCellMar>
        </w:tblPrEx>
        <w:tc>
          <w:tcPr>
            <w:tcW w:w="2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58F88D" w14:textId="77777777" w:rsidR="00D576C9" w:rsidRDefault="00000000">
            <w:r>
              <w:rPr>
                <w:color w:val="000000"/>
                <w:sz w:val="20"/>
                <w:szCs w:val="20"/>
              </w:rPr>
              <w:t>CPI_INFLATION</w:t>
            </w:r>
          </w:p>
        </w:tc>
        <w:tc>
          <w:tcPr>
            <w:tcW w:w="2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44202D" w14:textId="77777777" w:rsidR="00D576C9" w:rsidRDefault="00000000">
            <w:r>
              <w:rPr>
                <w:color w:val="000000"/>
                <w:sz w:val="20"/>
                <w:szCs w:val="20"/>
              </w:rPr>
              <w:t>All others (joint)</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932800" w14:textId="77777777" w:rsidR="00D576C9" w:rsidRDefault="00000000">
            <w:pPr>
              <w:jc w:val="center"/>
            </w:pPr>
            <w:r>
              <w:rPr>
                <w:color w:val="000000"/>
                <w:sz w:val="20"/>
                <w:szCs w:val="20"/>
              </w:rPr>
              <w:t>0.3790</w:t>
            </w:r>
          </w:p>
        </w:tc>
        <w:tc>
          <w:tcPr>
            <w:tcW w:w="2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872770B" w14:textId="77777777" w:rsidR="00D576C9" w:rsidRDefault="00000000">
            <w:r>
              <w:rPr>
                <w:color w:val="000000"/>
                <w:sz w:val="20"/>
                <w:szCs w:val="20"/>
              </w:rPr>
              <w:t>No causality</w:t>
            </w:r>
          </w:p>
        </w:tc>
      </w:tr>
      <w:tr w:rsidR="00D576C9" w14:paraId="07ED37C5" w14:textId="77777777">
        <w:tblPrEx>
          <w:tblCellMar>
            <w:top w:w="0" w:type="dxa"/>
            <w:bottom w:w="0" w:type="dxa"/>
          </w:tblCellMar>
        </w:tblPrEx>
        <w:tc>
          <w:tcPr>
            <w:tcW w:w="2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424E87B" w14:textId="77777777" w:rsidR="00D576C9" w:rsidRDefault="00000000">
            <w:r>
              <w:rPr>
                <w:color w:val="000000"/>
                <w:sz w:val="20"/>
                <w:szCs w:val="20"/>
              </w:rPr>
              <w:t>M2_GROWTH</w:t>
            </w:r>
          </w:p>
        </w:tc>
        <w:tc>
          <w:tcPr>
            <w:tcW w:w="2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6F799F7" w14:textId="77777777" w:rsidR="00D576C9" w:rsidRDefault="00000000">
            <w:r>
              <w:rPr>
                <w:color w:val="000000"/>
                <w:sz w:val="20"/>
                <w:szCs w:val="20"/>
              </w:rPr>
              <w:t>All others (joint)</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3DA660F" w14:textId="77777777" w:rsidR="00D576C9" w:rsidRDefault="00000000">
            <w:pPr>
              <w:jc w:val="center"/>
            </w:pPr>
            <w:r>
              <w:rPr>
                <w:color w:val="000000"/>
                <w:sz w:val="20"/>
                <w:szCs w:val="20"/>
              </w:rPr>
              <w:t>0.0871</w:t>
            </w:r>
          </w:p>
        </w:tc>
        <w:tc>
          <w:tcPr>
            <w:tcW w:w="2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C8A124E" w14:textId="77777777" w:rsidR="00D576C9" w:rsidRDefault="00000000">
            <w:r>
              <w:rPr>
                <w:color w:val="000000"/>
                <w:sz w:val="20"/>
                <w:szCs w:val="20"/>
              </w:rPr>
              <w:t>Borderline (10%)</w:t>
            </w:r>
          </w:p>
        </w:tc>
      </w:tr>
      <w:tr w:rsidR="00D576C9" w14:paraId="553E81F6" w14:textId="77777777">
        <w:tblPrEx>
          <w:tblCellMar>
            <w:top w:w="0" w:type="dxa"/>
            <w:bottom w:w="0" w:type="dxa"/>
          </w:tblCellMar>
        </w:tblPrEx>
        <w:tc>
          <w:tcPr>
            <w:tcW w:w="2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8136BE" w14:textId="77777777" w:rsidR="00D576C9" w:rsidRDefault="00000000">
            <w:r>
              <w:rPr>
                <w:color w:val="000000"/>
                <w:sz w:val="20"/>
                <w:szCs w:val="20"/>
              </w:rPr>
              <w:t>GOVT_GROWTH</w:t>
            </w:r>
          </w:p>
        </w:tc>
        <w:tc>
          <w:tcPr>
            <w:tcW w:w="2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21DD704" w14:textId="77777777" w:rsidR="00D576C9" w:rsidRDefault="00000000">
            <w:r>
              <w:rPr>
                <w:color w:val="000000"/>
                <w:sz w:val="20"/>
                <w:szCs w:val="20"/>
              </w:rPr>
              <w:t>All others (joint)</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CE6C92" w14:textId="77777777" w:rsidR="00D576C9" w:rsidRDefault="00000000">
            <w:pPr>
              <w:jc w:val="center"/>
            </w:pPr>
            <w:r>
              <w:rPr>
                <w:color w:val="000000"/>
                <w:sz w:val="20"/>
                <w:szCs w:val="20"/>
              </w:rPr>
              <w:t>0.2722</w:t>
            </w:r>
          </w:p>
        </w:tc>
        <w:tc>
          <w:tcPr>
            <w:tcW w:w="2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3281F1E" w14:textId="77777777" w:rsidR="00D576C9" w:rsidRDefault="00000000">
            <w:r>
              <w:rPr>
                <w:color w:val="000000"/>
                <w:sz w:val="20"/>
                <w:szCs w:val="20"/>
              </w:rPr>
              <w:t>No causality</w:t>
            </w:r>
          </w:p>
        </w:tc>
      </w:tr>
      <w:tr w:rsidR="00D576C9" w14:paraId="50BD0729" w14:textId="77777777">
        <w:tblPrEx>
          <w:tblCellMar>
            <w:top w:w="0" w:type="dxa"/>
            <w:bottom w:w="0" w:type="dxa"/>
          </w:tblCellMar>
        </w:tblPrEx>
        <w:tc>
          <w:tcPr>
            <w:tcW w:w="2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A0C9FD2" w14:textId="77777777" w:rsidR="00D576C9" w:rsidRDefault="00000000">
            <w:r>
              <w:rPr>
                <w:color w:val="000000"/>
                <w:sz w:val="20"/>
                <w:szCs w:val="20"/>
              </w:rPr>
              <w:t>EX_GROWTH</w:t>
            </w:r>
          </w:p>
        </w:tc>
        <w:tc>
          <w:tcPr>
            <w:tcW w:w="2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15C12E2" w14:textId="77777777" w:rsidR="00D576C9" w:rsidRDefault="00000000">
            <w:r>
              <w:rPr>
                <w:color w:val="000000"/>
                <w:sz w:val="20"/>
                <w:szCs w:val="20"/>
              </w:rPr>
              <w:t>M2_GROWTH</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44D288A" w14:textId="77777777" w:rsidR="00D576C9" w:rsidRDefault="00000000">
            <w:pPr>
              <w:jc w:val="center"/>
            </w:pPr>
            <w:r>
              <w:rPr>
                <w:color w:val="000000"/>
                <w:sz w:val="20"/>
                <w:szCs w:val="20"/>
              </w:rPr>
              <w:t>0.0245</w:t>
            </w:r>
          </w:p>
        </w:tc>
        <w:tc>
          <w:tcPr>
            <w:tcW w:w="2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F191811" w14:textId="77777777" w:rsidR="00D576C9" w:rsidRDefault="00000000">
            <w:r>
              <w:rPr>
                <w:b/>
                <w:bCs/>
                <w:color w:val="000000"/>
                <w:sz w:val="20"/>
                <w:szCs w:val="20"/>
              </w:rPr>
              <w:t>Granger-causes **</w:t>
            </w:r>
          </w:p>
        </w:tc>
      </w:tr>
      <w:tr w:rsidR="00D576C9" w14:paraId="2760D81E" w14:textId="77777777">
        <w:tblPrEx>
          <w:tblCellMar>
            <w:top w:w="0" w:type="dxa"/>
            <w:bottom w:w="0" w:type="dxa"/>
          </w:tblCellMar>
        </w:tblPrEx>
        <w:tc>
          <w:tcPr>
            <w:tcW w:w="2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C89891" w14:textId="77777777" w:rsidR="00D576C9" w:rsidRDefault="00000000">
            <w:r>
              <w:rPr>
                <w:color w:val="000000"/>
                <w:sz w:val="20"/>
                <w:szCs w:val="20"/>
              </w:rPr>
              <w:t>EX_GROWTH</w:t>
            </w:r>
          </w:p>
        </w:tc>
        <w:tc>
          <w:tcPr>
            <w:tcW w:w="2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91E95C" w14:textId="77777777" w:rsidR="00D576C9" w:rsidRDefault="00000000">
            <w:r>
              <w:rPr>
                <w:color w:val="000000"/>
                <w:sz w:val="20"/>
                <w:szCs w:val="20"/>
              </w:rPr>
              <w:t>All others (joint)</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8B263D6" w14:textId="77777777" w:rsidR="00D576C9" w:rsidRDefault="00000000">
            <w:pPr>
              <w:jc w:val="center"/>
            </w:pPr>
            <w:r>
              <w:rPr>
                <w:color w:val="000000"/>
                <w:sz w:val="20"/>
                <w:szCs w:val="20"/>
              </w:rPr>
              <w:t>0.0235</w:t>
            </w:r>
          </w:p>
        </w:tc>
        <w:tc>
          <w:tcPr>
            <w:tcW w:w="2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ACD47E" w14:textId="77777777" w:rsidR="00D576C9" w:rsidRDefault="00000000">
            <w:r>
              <w:rPr>
                <w:b/>
                <w:bCs/>
                <w:color w:val="000000"/>
                <w:sz w:val="20"/>
                <w:szCs w:val="20"/>
              </w:rPr>
              <w:t>Significant at 5%</w:t>
            </w:r>
          </w:p>
        </w:tc>
      </w:tr>
    </w:tbl>
    <w:p w14:paraId="494FB16B" w14:textId="77777777" w:rsidR="00D576C9" w:rsidRDefault="00D576C9">
      <w:pPr>
        <w:spacing w:after="100"/>
      </w:pPr>
    </w:p>
    <w:p w14:paraId="11562A65" w14:textId="77777777" w:rsidR="00D576C9" w:rsidRDefault="00000000" w:rsidP="0071484A">
      <w:pPr>
        <w:spacing w:before="60" w:after="100" w:line="300" w:lineRule="auto"/>
        <w:jc w:val="both"/>
      </w:pPr>
      <w:r>
        <w:rPr>
          <w:color w:val="595959"/>
        </w:rPr>
        <w:t xml:space="preserve">** Key finding: M2_GROWTH Granger-causes EX_GROWTH at the 5% level (chi-squared = 5.061, p = 0.0245). This is consistent with monetary theory of exchange rate determination: monetary expansion precedes exchange rate adjustment. All other Granger causality relationships are insignificant at 5%. Inflation is driven purely by its own past — consistent with the </w:t>
      </w:r>
      <w:proofErr w:type="gramStart"/>
      <w:r>
        <w:rPr>
          <w:color w:val="595959"/>
        </w:rPr>
        <w:t>AR(</w:t>
      </w:r>
      <w:proofErr w:type="gramEnd"/>
      <w:r>
        <w:rPr>
          <w:color w:val="595959"/>
        </w:rPr>
        <w:t>2) finding in Section 5. Government expenditure growth is unpredictable from any variable in the system, likely reflecting political and IMF-program determinants outside this model.</w:t>
      </w:r>
    </w:p>
    <w:p w14:paraId="31A513F9" w14:textId="77777777" w:rsidR="00D576C9" w:rsidRDefault="00000000" w:rsidP="0071484A">
      <w:pPr>
        <w:pStyle w:val="Heading2"/>
        <w:jc w:val="both"/>
      </w:pPr>
      <w:r>
        <w:t>6.4 Impulse Response Analysis</w:t>
      </w:r>
    </w:p>
    <w:p w14:paraId="24FC028A" w14:textId="77777777" w:rsidR="00D576C9" w:rsidRDefault="00000000" w:rsidP="0071484A">
      <w:pPr>
        <w:spacing w:before="60" w:after="100" w:line="300" w:lineRule="auto"/>
        <w:jc w:val="both"/>
      </w:pPr>
      <w:r>
        <w:rPr>
          <w:color w:val="595959"/>
        </w:rPr>
        <w:t>Impulse Response Functions (IRFs) were estimated using Cholesky decomposition with ordering: CPI_INFLATION, M2_GROWTH, GOVT_GROWTH, EX_GROWTH. The 4x4 IRF grid (10 periods, 95% asymptotic confidence intervals) confirms the Granger causality results.</w:t>
      </w:r>
    </w:p>
    <w:p w14:paraId="72FA1BC1" w14:textId="77777777" w:rsidR="00D576C9" w:rsidRDefault="00000000" w:rsidP="0071484A">
      <w:pPr>
        <w:spacing w:before="60" w:after="100" w:line="300" w:lineRule="auto"/>
        <w:jc w:val="both"/>
        <w:rPr>
          <w:color w:val="595959"/>
        </w:rPr>
      </w:pPr>
      <w:r>
        <w:rPr>
          <w:color w:val="595959"/>
        </w:rPr>
        <w:t xml:space="preserve">Key IRF findings: (1) CPI_INFLATION responds strongly and significantly to its own shock, decaying to zero by period 4-5 — consistent with </w:t>
      </w:r>
      <w:proofErr w:type="gramStart"/>
      <w:r>
        <w:rPr>
          <w:color w:val="595959"/>
        </w:rPr>
        <w:t>AR(</w:t>
      </w:r>
      <w:proofErr w:type="gramEnd"/>
      <w:r>
        <w:rPr>
          <w:color w:val="595959"/>
        </w:rPr>
        <w:t>2) persistence. Responses to all other shocks are statistically indistinguishable from zero throughout. (2) M2_GROWTH responds significantly to its own shock only. (3) GOVT_GROWTH responds to no shock significantly — confirming the block exogeneity result. (4) EX_GROWTH shows a negative response to an M2_GROWTH shock, consistent with the Granger causality finding. The exact magnitude and statistical significance at each horizon should be verified from the IRF numerical table in EViews, as visual inspection at the available resolution is insufficient for precise inference.</w:t>
      </w:r>
    </w:p>
    <w:p w14:paraId="75F77E54" w14:textId="77777777" w:rsidR="00C801A9" w:rsidRDefault="00C801A9" w:rsidP="0071484A">
      <w:pPr>
        <w:spacing w:before="60" w:after="100" w:line="300" w:lineRule="auto"/>
        <w:jc w:val="both"/>
        <w:rPr>
          <w:color w:val="595959"/>
        </w:rPr>
      </w:pPr>
    </w:p>
    <w:p w14:paraId="14EE002F" w14:textId="77777777" w:rsidR="00C801A9" w:rsidRDefault="00C801A9" w:rsidP="0071484A">
      <w:pPr>
        <w:spacing w:before="60" w:after="100" w:line="300" w:lineRule="auto"/>
        <w:jc w:val="both"/>
        <w:rPr>
          <w:color w:val="595959"/>
        </w:rPr>
      </w:pPr>
    </w:p>
    <w:p w14:paraId="0867EA78" w14:textId="77777777" w:rsidR="00C801A9" w:rsidRDefault="00C801A9" w:rsidP="0071484A">
      <w:pPr>
        <w:spacing w:before="60" w:after="100" w:line="300" w:lineRule="auto"/>
        <w:jc w:val="both"/>
      </w:pPr>
    </w:p>
    <w:p w14:paraId="0007C117" w14:textId="77777777" w:rsidR="00D576C9" w:rsidRDefault="00D576C9">
      <w:pPr>
        <w:spacing w:after="120"/>
      </w:pPr>
    </w:p>
    <w:p w14:paraId="44873A24" w14:textId="77777777" w:rsidR="00D576C9" w:rsidRDefault="00000000">
      <w:pPr>
        <w:pStyle w:val="Heading1"/>
        <w:pBdr>
          <w:bottom w:val="single" w:sz="6" w:space="4" w:color="2E75B6"/>
        </w:pBdr>
      </w:pPr>
      <w:r>
        <w:lastRenderedPageBreak/>
        <w:t>7. ARCH/GARCH — Methodology and Data Frequency Assessment</w:t>
      </w:r>
    </w:p>
    <w:p w14:paraId="12CE460F" w14:textId="77777777" w:rsidR="00D576C9" w:rsidRDefault="00000000">
      <w:pPr>
        <w:pStyle w:val="Heading2"/>
      </w:pPr>
      <w:r>
        <w:t>7.1 ARCH-LM Pre-Test Results</w:t>
      </w:r>
    </w:p>
    <w:p w14:paraId="0E62596F" w14:textId="77777777" w:rsidR="00D576C9" w:rsidRDefault="00000000" w:rsidP="00C801A9">
      <w:pPr>
        <w:spacing w:before="60" w:after="100" w:line="300" w:lineRule="auto"/>
        <w:jc w:val="both"/>
      </w:pPr>
      <w:r>
        <w:rPr>
          <w:color w:val="595959"/>
        </w:rPr>
        <w:t xml:space="preserve">The ARCH-LM test (Engle, 1982) was applied to residuals from the </w:t>
      </w:r>
      <w:proofErr w:type="gramStart"/>
      <w:r>
        <w:rPr>
          <w:color w:val="595959"/>
        </w:rPr>
        <w:t>AR(</w:t>
      </w:r>
      <w:proofErr w:type="gramEnd"/>
      <w:r>
        <w:rPr>
          <w:color w:val="595959"/>
        </w:rPr>
        <w:t>2) model for CPI_INFLATION and a constant-only mean equation for EX_GROWTH, using 4 lags. The null hypothesis is that no ARCH effects are present (variance is constant).</w:t>
      </w:r>
    </w:p>
    <w:p w14:paraId="6E0DC2B3" w14:textId="77777777" w:rsidR="00D576C9" w:rsidRDefault="00D576C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680"/>
        <w:gridCol w:w="1680"/>
        <w:gridCol w:w="1680"/>
        <w:gridCol w:w="1980"/>
      </w:tblGrid>
      <w:tr w:rsidR="00D576C9" w14:paraId="03EC8EE9" w14:textId="77777777">
        <w:tblPrEx>
          <w:tblCellMar>
            <w:top w:w="0" w:type="dxa"/>
            <w:bottom w:w="0" w:type="dxa"/>
          </w:tblCellMar>
        </w:tblPrEx>
        <w:trPr>
          <w:tblHeader/>
        </w:trPr>
        <w:tc>
          <w:tcPr>
            <w:tcW w:w="2340" w:type="dxa"/>
            <w:tcBorders>
              <w:top w:val="single" w:sz="4" w:space="0" w:color="2E75B6"/>
              <w:left w:val="single" w:sz="1" w:space="0" w:color="AAAAAA"/>
              <w:bottom w:val="single" w:sz="4" w:space="0" w:color="2E75B6"/>
              <w:right w:val="single" w:sz="1" w:space="0" w:color="AAAAAA"/>
            </w:tcBorders>
            <w:shd w:val="clear" w:color="auto" w:fill="1F4E79"/>
            <w:tcMar>
              <w:top w:w="80" w:type="dxa"/>
              <w:left w:w="120" w:type="dxa"/>
              <w:bottom w:w="80" w:type="dxa"/>
              <w:right w:w="120" w:type="dxa"/>
            </w:tcMar>
            <w:vAlign w:val="center"/>
          </w:tcPr>
          <w:p w14:paraId="20F342E4" w14:textId="77777777" w:rsidR="00D576C9" w:rsidRDefault="00000000">
            <w:r>
              <w:rPr>
                <w:b/>
                <w:bCs/>
                <w:color w:val="FFFFFF"/>
                <w:sz w:val="20"/>
                <w:szCs w:val="20"/>
              </w:rPr>
              <w:t>Series</w:t>
            </w:r>
          </w:p>
        </w:tc>
        <w:tc>
          <w:tcPr>
            <w:tcW w:w="1680" w:type="dxa"/>
            <w:tcBorders>
              <w:top w:val="single" w:sz="4" w:space="0" w:color="2E75B6"/>
              <w:left w:val="single" w:sz="1" w:space="0" w:color="AAAAAA"/>
              <w:bottom w:val="single" w:sz="4" w:space="0" w:color="2E75B6"/>
              <w:right w:val="single" w:sz="1" w:space="0" w:color="AAAAAA"/>
            </w:tcBorders>
            <w:shd w:val="clear" w:color="auto" w:fill="1F4E79"/>
            <w:tcMar>
              <w:top w:w="80" w:type="dxa"/>
              <w:left w:w="120" w:type="dxa"/>
              <w:bottom w:w="80" w:type="dxa"/>
              <w:right w:w="120" w:type="dxa"/>
            </w:tcMar>
            <w:vAlign w:val="center"/>
          </w:tcPr>
          <w:p w14:paraId="2F59F407" w14:textId="77777777" w:rsidR="00D576C9" w:rsidRDefault="00000000">
            <w:r>
              <w:rPr>
                <w:b/>
                <w:bCs/>
                <w:color w:val="FFFFFF"/>
                <w:sz w:val="20"/>
                <w:szCs w:val="20"/>
              </w:rPr>
              <w:t>F-statistic</w:t>
            </w:r>
          </w:p>
        </w:tc>
        <w:tc>
          <w:tcPr>
            <w:tcW w:w="1680" w:type="dxa"/>
            <w:tcBorders>
              <w:top w:val="single" w:sz="4" w:space="0" w:color="2E75B6"/>
              <w:left w:val="single" w:sz="1" w:space="0" w:color="AAAAAA"/>
              <w:bottom w:val="single" w:sz="4" w:space="0" w:color="2E75B6"/>
              <w:right w:val="single" w:sz="1" w:space="0" w:color="AAAAAA"/>
            </w:tcBorders>
            <w:shd w:val="clear" w:color="auto" w:fill="1F4E79"/>
            <w:tcMar>
              <w:top w:w="80" w:type="dxa"/>
              <w:left w:w="120" w:type="dxa"/>
              <w:bottom w:w="80" w:type="dxa"/>
              <w:right w:w="120" w:type="dxa"/>
            </w:tcMar>
            <w:vAlign w:val="center"/>
          </w:tcPr>
          <w:p w14:paraId="28F38A29" w14:textId="77777777" w:rsidR="00D576C9" w:rsidRDefault="00000000">
            <w:r>
              <w:rPr>
                <w:b/>
                <w:bCs/>
                <w:color w:val="FFFFFF"/>
                <w:sz w:val="20"/>
                <w:szCs w:val="20"/>
              </w:rPr>
              <w:t>Chi-sq p-value</w:t>
            </w:r>
          </w:p>
        </w:tc>
        <w:tc>
          <w:tcPr>
            <w:tcW w:w="1680" w:type="dxa"/>
            <w:tcBorders>
              <w:top w:val="single" w:sz="4" w:space="0" w:color="2E75B6"/>
              <w:left w:val="single" w:sz="1" w:space="0" w:color="AAAAAA"/>
              <w:bottom w:val="single" w:sz="4" w:space="0" w:color="2E75B6"/>
              <w:right w:val="single" w:sz="1" w:space="0" w:color="AAAAAA"/>
            </w:tcBorders>
            <w:shd w:val="clear" w:color="auto" w:fill="1F4E79"/>
            <w:tcMar>
              <w:top w:w="80" w:type="dxa"/>
              <w:left w:w="120" w:type="dxa"/>
              <w:bottom w:w="80" w:type="dxa"/>
              <w:right w:w="120" w:type="dxa"/>
            </w:tcMar>
            <w:vAlign w:val="center"/>
          </w:tcPr>
          <w:p w14:paraId="220803AA" w14:textId="77777777" w:rsidR="00D576C9" w:rsidRDefault="00000000">
            <w:r>
              <w:rPr>
                <w:b/>
                <w:bCs/>
                <w:color w:val="FFFFFF"/>
                <w:sz w:val="20"/>
                <w:szCs w:val="20"/>
              </w:rPr>
              <w:t>ARCH Effects?</w:t>
            </w:r>
          </w:p>
        </w:tc>
        <w:tc>
          <w:tcPr>
            <w:tcW w:w="1980" w:type="dxa"/>
            <w:tcBorders>
              <w:top w:val="single" w:sz="4" w:space="0" w:color="2E75B6"/>
              <w:left w:val="single" w:sz="1" w:space="0" w:color="AAAAAA"/>
              <w:bottom w:val="single" w:sz="4" w:space="0" w:color="2E75B6"/>
              <w:right w:val="single" w:sz="1" w:space="0" w:color="AAAAAA"/>
            </w:tcBorders>
            <w:shd w:val="clear" w:color="auto" w:fill="1F4E79"/>
            <w:tcMar>
              <w:top w:w="80" w:type="dxa"/>
              <w:left w:w="120" w:type="dxa"/>
              <w:bottom w:w="80" w:type="dxa"/>
              <w:right w:w="120" w:type="dxa"/>
            </w:tcMar>
            <w:vAlign w:val="center"/>
          </w:tcPr>
          <w:p w14:paraId="28815026" w14:textId="77777777" w:rsidR="00D576C9" w:rsidRDefault="00000000">
            <w:r>
              <w:rPr>
                <w:b/>
                <w:bCs/>
                <w:color w:val="FFFFFF"/>
                <w:sz w:val="20"/>
                <w:szCs w:val="20"/>
              </w:rPr>
              <w:t>Conclusion</w:t>
            </w:r>
          </w:p>
        </w:tc>
      </w:tr>
      <w:tr w:rsidR="00D576C9" w14:paraId="6955B11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33309A" w14:textId="77777777" w:rsidR="00D576C9" w:rsidRDefault="00000000">
            <w:r>
              <w:rPr>
                <w:color w:val="000000"/>
                <w:sz w:val="20"/>
                <w:szCs w:val="20"/>
              </w:rPr>
              <w:t>CPI_INFLATION</w:t>
            </w:r>
          </w:p>
        </w:tc>
        <w:tc>
          <w:tcPr>
            <w:tcW w:w="1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DC4103" w14:textId="77777777" w:rsidR="00D576C9" w:rsidRDefault="00000000">
            <w:pPr>
              <w:jc w:val="center"/>
            </w:pPr>
            <w:r>
              <w:rPr>
                <w:color w:val="000000"/>
                <w:sz w:val="20"/>
                <w:szCs w:val="20"/>
              </w:rPr>
              <w:t>0.564</w:t>
            </w:r>
          </w:p>
        </w:tc>
        <w:tc>
          <w:tcPr>
            <w:tcW w:w="1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B6EB5B" w14:textId="77777777" w:rsidR="00D576C9" w:rsidRDefault="00000000">
            <w:pPr>
              <w:jc w:val="center"/>
            </w:pPr>
            <w:r>
              <w:rPr>
                <w:color w:val="000000"/>
                <w:sz w:val="20"/>
                <w:szCs w:val="20"/>
              </w:rPr>
              <w:t>0.6636</w:t>
            </w:r>
          </w:p>
        </w:tc>
        <w:tc>
          <w:tcPr>
            <w:tcW w:w="1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6FBEAD" w14:textId="77777777" w:rsidR="00D576C9" w:rsidRDefault="00000000">
            <w:pPr>
              <w:jc w:val="center"/>
            </w:pPr>
            <w:r>
              <w:rPr>
                <w:color w:val="000000"/>
                <w:sz w:val="20"/>
                <w:szCs w:val="20"/>
              </w:rPr>
              <w:t>No</w:t>
            </w:r>
          </w:p>
        </w:tc>
        <w:tc>
          <w:tcPr>
            <w:tcW w:w="19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F2CAAA" w14:textId="77777777" w:rsidR="00D576C9" w:rsidRDefault="00000000">
            <w:r>
              <w:rPr>
                <w:color w:val="000000"/>
                <w:sz w:val="20"/>
                <w:szCs w:val="20"/>
              </w:rPr>
              <w:t>GARCH not warranted</w:t>
            </w:r>
          </w:p>
        </w:tc>
      </w:tr>
      <w:tr w:rsidR="00D576C9" w14:paraId="0460EACB"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7780804" w14:textId="77777777" w:rsidR="00D576C9" w:rsidRDefault="00000000">
            <w:r>
              <w:rPr>
                <w:color w:val="000000"/>
                <w:sz w:val="20"/>
                <w:szCs w:val="20"/>
              </w:rPr>
              <w:t>EX_GROWTH</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2D8458F" w14:textId="77777777" w:rsidR="00D576C9" w:rsidRDefault="00000000">
            <w:pPr>
              <w:jc w:val="center"/>
            </w:pPr>
            <w:r>
              <w:rPr>
                <w:color w:val="000000"/>
                <w:sz w:val="20"/>
                <w:szCs w:val="20"/>
              </w:rPr>
              <w:t>0.207</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DF1836C" w14:textId="77777777" w:rsidR="00D576C9" w:rsidRDefault="00000000">
            <w:pPr>
              <w:jc w:val="center"/>
            </w:pPr>
            <w:r>
              <w:rPr>
                <w:color w:val="000000"/>
                <w:sz w:val="20"/>
                <w:szCs w:val="20"/>
              </w:rPr>
              <w:t>0.9230</w:t>
            </w:r>
          </w:p>
        </w:tc>
        <w:tc>
          <w:tcPr>
            <w:tcW w:w="1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54BA577" w14:textId="77777777" w:rsidR="00D576C9" w:rsidRDefault="00000000">
            <w:pPr>
              <w:jc w:val="center"/>
            </w:pPr>
            <w:r>
              <w:rPr>
                <w:color w:val="000000"/>
                <w:sz w:val="20"/>
                <w:szCs w:val="20"/>
              </w:rPr>
              <w:t>No</w:t>
            </w:r>
          </w:p>
        </w:tc>
        <w:tc>
          <w:tcPr>
            <w:tcW w:w="19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217C157" w14:textId="77777777" w:rsidR="00D576C9" w:rsidRDefault="00000000">
            <w:r>
              <w:rPr>
                <w:color w:val="000000"/>
                <w:sz w:val="20"/>
                <w:szCs w:val="20"/>
              </w:rPr>
              <w:t>GARCH not warranted</w:t>
            </w:r>
          </w:p>
        </w:tc>
      </w:tr>
    </w:tbl>
    <w:p w14:paraId="151C2C77" w14:textId="77777777" w:rsidR="00D576C9" w:rsidRDefault="00D576C9">
      <w:pPr>
        <w:spacing w:after="100"/>
      </w:pPr>
    </w:p>
    <w:p w14:paraId="74E285FA" w14:textId="77777777" w:rsidR="00D576C9" w:rsidRDefault="00000000">
      <w:pPr>
        <w:pStyle w:val="Heading2"/>
      </w:pPr>
      <w:r>
        <w:t>7.2 Why Annual Data Produces No ARCH Effects</w:t>
      </w:r>
    </w:p>
    <w:p w14:paraId="313AC33A" w14:textId="77777777" w:rsidR="00D576C9" w:rsidRDefault="00000000" w:rsidP="00C801A9">
      <w:pPr>
        <w:spacing w:before="60" w:after="100" w:line="300" w:lineRule="auto"/>
        <w:jc w:val="both"/>
      </w:pPr>
      <w:r>
        <w:rPr>
          <w:color w:val="595959"/>
        </w:rPr>
        <w:t>Both series produce p-values above 0.90 for the ARCH-LM test — overwhelming evidence against time-varying variance. This is the expected and correct null result for annual macro data. Volatility clustering — the empirical phenomenon GARCH is designed to capture — occurs at high frequencies: consecutive days or months of elevated variance following large shocks. Annual temporal aggregation compresses 12 monthly observations into one data point, smoothing out within-year volatility spikes. The temporal resolution is insufficient to observe volatility clustering at annual frequency.</w:t>
      </w:r>
    </w:p>
    <w:p w14:paraId="36606834" w14:textId="77777777" w:rsidR="00D576C9" w:rsidRDefault="00000000" w:rsidP="00C801A9">
      <w:pPr>
        <w:spacing w:before="60" w:after="100" w:line="300" w:lineRule="auto"/>
        <w:jc w:val="both"/>
      </w:pPr>
      <w:r>
        <w:rPr>
          <w:color w:val="595959"/>
        </w:rPr>
        <w:t xml:space="preserve">This is not a modelling failure. It correctly indicates that constant-variance OLS and ARMA specifications are appropriate for these annual series, and that GARCH would add no information. Attempting to estimate </w:t>
      </w:r>
      <w:proofErr w:type="gramStart"/>
      <w:r>
        <w:rPr>
          <w:color w:val="595959"/>
        </w:rPr>
        <w:t>GARCH(</w:t>
      </w:r>
      <w:proofErr w:type="gramEnd"/>
      <w:r>
        <w:rPr>
          <w:color w:val="595959"/>
        </w:rPr>
        <w:t>1,1) on annual data where the ARCH-LM test fails to reject would be methodologically inappropriate.</w:t>
      </w:r>
    </w:p>
    <w:p w14:paraId="2B8A6E74" w14:textId="77777777" w:rsidR="00D576C9" w:rsidRDefault="00000000">
      <w:pPr>
        <w:pStyle w:val="Heading2"/>
      </w:pPr>
      <w:r>
        <w:t>7.3 GARCH Framework — Conceptual Overview</w:t>
      </w:r>
    </w:p>
    <w:p w14:paraId="78BC30A1" w14:textId="77777777" w:rsidR="00D576C9" w:rsidRDefault="00000000" w:rsidP="00C801A9">
      <w:pPr>
        <w:spacing w:before="60" w:after="100" w:line="300" w:lineRule="auto"/>
        <w:jc w:val="both"/>
      </w:pPr>
      <w:r>
        <w:rPr>
          <w:color w:val="595959"/>
        </w:rPr>
        <w:t xml:space="preserve">The </w:t>
      </w:r>
      <w:proofErr w:type="gramStart"/>
      <w:r>
        <w:rPr>
          <w:color w:val="595959"/>
        </w:rPr>
        <w:t>GARCH(</w:t>
      </w:r>
      <w:proofErr w:type="gramEnd"/>
      <w:r>
        <w:rPr>
          <w:color w:val="595959"/>
        </w:rPr>
        <w:t xml:space="preserve">1,1) model (Bollerslev, 1986, </w:t>
      </w:r>
      <w:proofErr w:type="spellStart"/>
      <w:r>
        <w:rPr>
          <w:color w:val="595959"/>
        </w:rPr>
        <w:t>generalising</w:t>
      </w:r>
      <w:proofErr w:type="spellEnd"/>
      <w:r>
        <w:rPr>
          <w:color w:val="595959"/>
        </w:rPr>
        <w:t xml:space="preserve"> Engle, 1982) specifies time-varying conditional variance through two simultaneous equations:</w:t>
      </w:r>
    </w:p>
    <w:p w14:paraId="66A27E2E" w14:textId="77777777" w:rsidR="00D576C9" w:rsidRDefault="00D576C9">
      <w:pPr>
        <w:spacing w:after="80"/>
      </w:pPr>
    </w:p>
    <w:p w14:paraId="02CFA7EC" w14:textId="77777777" w:rsidR="00D576C9" w:rsidRDefault="00000000">
      <w:pPr>
        <w:spacing w:before="80" w:after="40"/>
        <w:jc w:val="center"/>
      </w:pPr>
      <w:r>
        <w:rPr>
          <w:b/>
          <w:bCs/>
        </w:rPr>
        <w:t xml:space="preserve">Mean equation:   </w:t>
      </w:r>
      <w:proofErr w:type="spellStart"/>
      <w:r>
        <w:rPr>
          <w:b/>
          <w:bCs/>
        </w:rPr>
        <w:t>Y</w:t>
      </w:r>
      <w:r>
        <w:rPr>
          <w:sz w:val="18"/>
          <w:szCs w:val="18"/>
        </w:rPr>
        <w:t>t</w:t>
      </w:r>
      <w:proofErr w:type="spellEnd"/>
      <w:r>
        <w:rPr>
          <w:b/>
          <w:bCs/>
        </w:rPr>
        <w:t xml:space="preserve"> = μ + </w:t>
      </w:r>
      <w:proofErr w:type="spellStart"/>
      <w:r>
        <w:rPr>
          <w:b/>
          <w:bCs/>
        </w:rPr>
        <w:t>ε</w:t>
      </w:r>
      <w:proofErr w:type="gramStart"/>
      <w:r>
        <w:rPr>
          <w:sz w:val="18"/>
          <w:szCs w:val="18"/>
        </w:rPr>
        <w:t>t</w:t>
      </w:r>
      <w:proofErr w:type="spellEnd"/>
      <w:r>
        <w:rPr>
          <w:b/>
          <w:bCs/>
        </w:rPr>
        <w:t xml:space="preserve">,   </w:t>
      </w:r>
      <w:proofErr w:type="spellStart"/>
      <w:proofErr w:type="gramEnd"/>
      <w:r>
        <w:rPr>
          <w:b/>
          <w:bCs/>
        </w:rPr>
        <w:t>ε</w:t>
      </w:r>
      <w:r>
        <w:rPr>
          <w:sz w:val="18"/>
          <w:szCs w:val="18"/>
        </w:rPr>
        <w:t>t</w:t>
      </w:r>
      <w:proofErr w:type="spellEnd"/>
      <w:r>
        <w:rPr>
          <w:b/>
          <w:bCs/>
        </w:rPr>
        <w:t xml:space="preserve"> = </w:t>
      </w:r>
      <w:proofErr w:type="spellStart"/>
      <w:r>
        <w:rPr>
          <w:b/>
          <w:bCs/>
        </w:rPr>
        <w:t>σ</w:t>
      </w:r>
      <w:r>
        <w:rPr>
          <w:sz w:val="18"/>
          <w:szCs w:val="18"/>
        </w:rPr>
        <w:t>t</w:t>
      </w:r>
      <w:proofErr w:type="spellEnd"/>
      <w:r>
        <w:rPr>
          <w:b/>
          <w:bCs/>
        </w:rPr>
        <w:t xml:space="preserve"> · </w:t>
      </w:r>
      <w:proofErr w:type="spellStart"/>
      <w:r>
        <w:rPr>
          <w:b/>
          <w:bCs/>
        </w:rPr>
        <w:t>z</w:t>
      </w:r>
      <w:r>
        <w:rPr>
          <w:sz w:val="18"/>
          <w:szCs w:val="18"/>
        </w:rPr>
        <w:t>t</w:t>
      </w:r>
      <w:proofErr w:type="spellEnd"/>
    </w:p>
    <w:p w14:paraId="7369A9DA" w14:textId="77777777" w:rsidR="00D576C9" w:rsidRDefault="00000000">
      <w:pPr>
        <w:spacing w:before="40" w:after="80"/>
        <w:jc w:val="center"/>
      </w:pPr>
      <w:r>
        <w:rPr>
          <w:b/>
          <w:bCs/>
        </w:rPr>
        <w:t>Variance equation:   σ²</w:t>
      </w:r>
      <w:r>
        <w:rPr>
          <w:sz w:val="18"/>
          <w:szCs w:val="18"/>
        </w:rPr>
        <w:t>t</w:t>
      </w:r>
      <w:r>
        <w:rPr>
          <w:b/>
          <w:bCs/>
        </w:rPr>
        <w:t xml:space="preserve"> = ω + αε²</w:t>
      </w:r>
      <w:r>
        <w:rPr>
          <w:sz w:val="18"/>
          <w:szCs w:val="18"/>
        </w:rPr>
        <w:t>t-1</w:t>
      </w:r>
      <w:r>
        <w:rPr>
          <w:b/>
          <w:bCs/>
        </w:rPr>
        <w:t xml:space="preserve"> + βσ²</w:t>
      </w:r>
      <w:r>
        <w:rPr>
          <w:sz w:val="18"/>
          <w:szCs w:val="18"/>
        </w:rPr>
        <w:t>t-1</w:t>
      </w:r>
    </w:p>
    <w:p w14:paraId="37A5F4FA" w14:textId="77777777" w:rsidR="00D576C9" w:rsidRDefault="00D576C9">
      <w:pPr>
        <w:spacing w:after="60"/>
      </w:pPr>
    </w:p>
    <w:p w14:paraId="74B3F10F" w14:textId="77777777" w:rsidR="00D576C9" w:rsidRDefault="00000000" w:rsidP="00C801A9">
      <w:pPr>
        <w:spacing w:before="60" w:after="100" w:line="300" w:lineRule="auto"/>
        <w:jc w:val="both"/>
      </w:pPr>
      <w:r>
        <w:rPr>
          <w:color w:val="595959"/>
        </w:rPr>
        <w:t xml:space="preserve">Where omega &gt; 0, alpha &gt;= 0, beta &gt;= 0 are required for positive variance, and alpha + beta &lt; 1 is required for variance stationarity. The persistence of volatility shocks is measured by alpha + beta: values close to 1 indicate slow decay of volatility. The long-run unconditional variance is omega / (1 </w:t>
      </w:r>
      <w:r>
        <w:rPr>
          <w:color w:val="595959"/>
        </w:rPr>
        <w:lastRenderedPageBreak/>
        <w:t>- alpha - beta). The ARCH term alpha captures sensitivity to recent news (squared errors); the GARCH term beta captures memory of past variance.</w:t>
      </w:r>
    </w:p>
    <w:p w14:paraId="3633CF46" w14:textId="77777777" w:rsidR="00D576C9" w:rsidRDefault="00000000">
      <w:pPr>
        <w:pStyle w:val="Heading2"/>
      </w:pPr>
      <w:r>
        <w:t>7.4 Application to Thesis — DCC-GARCH</w:t>
      </w:r>
    </w:p>
    <w:p w14:paraId="7CA38FF6" w14:textId="77777777" w:rsidR="00D576C9" w:rsidRDefault="00000000" w:rsidP="00C801A9">
      <w:pPr>
        <w:spacing w:before="60" w:after="100" w:line="300" w:lineRule="auto"/>
        <w:jc w:val="both"/>
      </w:pPr>
      <w:r>
        <w:rPr>
          <w:color w:val="595959"/>
        </w:rPr>
        <w:t xml:space="preserve">The thesis project on Bitcoin volatility spillovers to KSE-100 returns requires Dynamic Conditional Correlation GARCH (DCC-GARCH), which extends GARCH to a multivariate setting. The DCC model (attributed to Engle, though the reader should verify the precise citation) estimates </w:t>
      </w:r>
      <w:proofErr w:type="gramStart"/>
      <w:r>
        <w:rPr>
          <w:color w:val="595959"/>
        </w:rPr>
        <w:t>GARCH(</w:t>
      </w:r>
      <w:proofErr w:type="gramEnd"/>
      <w:r>
        <w:rPr>
          <w:color w:val="595959"/>
        </w:rPr>
        <w:t xml:space="preserve">1,1) for each series individually, then models the time-varying correlation between </w:t>
      </w:r>
      <w:proofErr w:type="spellStart"/>
      <w:r>
        <w:rPr>
          <w:color w:val="595959"/>
        </w:rPr>
        <w:t>standardised</w:t>
      </w:r>
      <w:proofErr w:type="spellEnd"/>
      <w:r>
        <w:rPr>
          <w:color w:val="595959"/>
        </w:rPr>
        <w:t xml:space="preserve"> residuals. This allows the question: did the correlation between Bitcoin volatility and KSE-100 returns change significantly during the PVARA regulatory period?</w:t>
      </w:r>
    </w:p>
    <w:p w14:paraId="29D6C0E9" w14:textId="77777777" w:rsidR="00D576C9" w:rsidRDefault="00000000" w:rsidP="00C801A9">
      <w:pPr>
        <w:spacing w:before="60" w:after="100" w:line="300" w:lineRule="auto"/>
        <w:jc w:val="both"/>
      </w:pPr>
      <w:r>
        <w:rPr>
          <w:color w:val="595959"/>
        </w:rPr>
        <w:t xml:space="preserve">Daily return data for BTC/USD and KSE-100 will almost certainly exhibit strong ARCH effects — the ARCH-LM test is expected to reject decisively at daily frequency. The Box-Jenkins and GARCH estimation procedures covered in this report translate directly to that analysis. The sequence will be: (1) compute log returns; (2) test stationarity; (3) ARCH-LM test; (4) </w:t>
      </w:r>
      <w:proofErr w:type="gramStart"/>
      <w:r>
        <w:rPr>
          <w:color w:val="595959"/>
        </w:rPr>
        <w:t>GARCH(</w:t>
      </w:r>
      <w:proofErr w:type="gramEnd"/>
      <w:r>
        <w:rPr>
          <w:color w:val="595959"/>
        </w:rPr>
        <w:t>1,1) on each series; (5) DCC-GARCH jointly; (6) extract time-varying correlations and test for structural breaks around the PVARA period.</w:t>
      </w:r>
    </w:p>
    <w:p w14:paraId="2EB37DE4" w14:textId="77777777" w:rsidR="00D576C9" w:rsidRDefault="00D576C9" w:rsidP="00C801A9">
      <w:pPr>
        <w:spacing w:after="120"/>
        <w:jc w:val="both"/>
      </w:pPr>
    </w:p>
    <w:p w14:paraId="36F1661A" w14:textId="77777777" w:rsidR="00D576C9" w:rsidRDefault="00000000">
      <w:pPr>
        <w:pStyle w:val="Heading1"/>
        <w:pBdr>
          <w:bottom w:val="single" w:sz="6" w:space="4" w:color="2E75B6"/>
        </w:pBdr>
      </w:pPr>
      <w:r>
        <w:t>8. Summary of Findings</w:t>
      </w:r>
    </w:p>
    <w:p w14:paraId="65E6B7DA" w14:textId="77777777" w:rsidR="00D576C9" w:rsidRDefault="00D576C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D576C9" w14:paraId="6C49AAC3" w14:textId="77777777">
        <w:tblPrEx>
          <w:tblCellMar>
            <w:top w:w="0" w:type="dxa"/>
            <w:bottom w:w="0" w:type="dxa"/>
          </w:tblCellMar>
        </w:tblPrEx>
        <w:trPr>
          <w:tblHeader/>
        </w:trPr>
        <w:tc>
          <w:tcPr>
            <w:tcW w:w="2800" w:type="dxa"/>
            <w:tcBorders>
              <w:top w:val="single" w:sz="4" w:space="0" w:color="2E75B6"/>
              <w:left w:val="single" w:sz="1" w:space="0" w:color="AAAAAA"/>
              <w:bottom w:val="single" w:sz="4" w:space="0" w:color="2E75B6"/>
              <w:right w:val="single" w:sz="1" w:space="0" w:color="AAAAAA"/>
            </w:tcBorders>
            <w:shd w:val="clear" w:color="auto" w:fill="1F4E79"/>
            <w:tcMar>
              <w:top w:w="80" w:type="dxa"/>
              <w:left w:w="120" w:type="dxa"/>
              <w:bottom w:w="80" w:type="dxa"/>
              <w:right w:w="120" w:type="dxa"/>
            </w:tcMar>
            <w:vAlign w:val="center"/>
          </w:tcPr>
          <w:p w14:paraId="5F28202D" w14:textId="77777777" w:rsidR="00D576C9" w:rsidRDefault="00000000">
            <w:r>
              <w:rPr>
                <w:b/>
                <w:bCs/>
                <w:color w:val="FFFFFF"/>
                <w:sz w:val="20"/>
                <w:szCs w:val="20"/>
              </w:rPr>
              <w:t>Analysis</w:t>
            </w:r>
          </w:p>
        </w:tc>
        <w:tc>
          <w:tcPr>
            <w:tcW w:w="3280" w:type="dxa"/>
            <w:tcBorders>
              <w:top w:val="single" w:sz="4" w:space="0" w:color="2E75B6"/>
              <w:left w:val="single" w:sz="1" w:space="0" w:color="AAAAAA"/>
              <w:bottom w:val="single" w:sz="4" w:space="0" w:color="2E75B6"/>
              <w:right w:val="single" w:sz="1" w:space="0" w:color="AAAAAA"/>
            </w:tcBorders>
            <w:shd w:val="clear" w:color="auto" w:fill="1F4E79"/>
            <w:tcMar>
              <w:top w:w="80" w:type="dxa"/>
              <w:left w:w="120" w:type="dxa"/>
              <w:bottom w:w="80" w:type="dxa"/>
              <w:right w:w="120" w:type="dxa"/>
            </w:tcMar>
            <w:vAlign w:val="center"/>
          </w:tcPr>
          <w:p w14:paraId="21675376" w14:textId="77777777" w:rsidR="00D576C9" w:rsidRDefault="00000000">
            <w:r>
              <w:rPr>
                <w:b/>
                <w:bCs/>
                <w:color w:val="FFFFFF"/>
                <w:sz w:val="20"/>
                <w:szCs w:val="20"/>
              </w:rPr>
              <w:t>Key Finding</w:t>
            </w:r>
          </w:p>
        </w:tc>
        <w:tc>
          <w:tcPr>
            <w:tcW w:w="3280" w:type="dxa"/>
            <w:tcBorders>
              <w:top w:val="single" w:sz="4" w:space="0" w:color="2E75B6"/>
              <w:left w:val="single" w:sz="1" w:space="0" w:color="AAAAAA"/>
              <w:bottom w:val="single" w:sz="4" w:space="0" w:color="2E75B6"/>
              <w:right w:val="single" w:sz="1" w:space="0" w:color="AAAAAA"/>
            </w:tcBorders>
            <w:shd w:val="clear" w:color="auto" w:fill="1F4E79"/>
            <w:tcMar>
              <w:top w:w="80" w:type="dxa"/>
              <w:left w:w="120" w:type="dxa"/>
              <w:bottom w:w="80" w:type="dxa"/>
              <w:right w:w="120" w:type="dxa"/>
            </w:tcMar>
            <w:vAlign w:val="center"/>
          </w:tcPr>
          <w:p w14:paraId="13F9AC0A" w14:textId="77777777" w:rsidR="00D576C9" w:rsidRDefault="00000000">
            <w:r>
              <w:rPr>
                <w:b/>
                <w:bCs/>
                <w:color w:val="FFFFFF"/>
                <w:sz w:val="20"/>
                <w:szCs w:val="20"/>
              </w:rPr>
              <w:t>Implication</w:t>
            </w:r>
          </w:p>
        </w:tc>
      </w:tr>
      <w:tr w:rsidR="00D576C9" w14:paraId="3EFFBD4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28DE58" w14:textId="77777777" w:rsidR="00D576C9" w:rsidRDefault="00000000">
            <w:r>
              <w:rPr>
                <w:color w:val="000000"/>
                <w:sz w:val="20"/>
                <w:szCs w:val="20"/>
              </w:rPr>
              <w:t>Unit Root Testing</w:t>
            </w:r>
          </w:p>
        </w:tc>
        <w:tc>
          <w:tcPr>
            <w:tcW w:w="3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E6B832" w14:textId="77777777" w:rsidR="00D576C9" w:rsidRDefault="00000000">
            <w:r>
              <w:rPr>
                <w:color w:val="000000"/>
                <w:sz w:val="20"/>
                <w:szCs w:val="20"/>
              </w:rPr>
              <w:t xml:space="preserve">LOG_M2, LOG_GOVT: </w:t>
            </w:r>
            <w:proofErr w:type="gramStart"/>
            <w:r>
              <w:rPr>
                <w:color w:val="000000"/>
                <w:sz w:val="20"/>
                <w:szCs w:val="20"/>
              </w:rPr>
              <w:t>I(</w:t>
            </w:r>
            <w:proofErr w:type="gramEnd"/>
            <w:r>
              <w:rPr>
                <w:color w:val="000000"/>
                <w:sz w:val="20"/>
                <w:szCs w:val="20"/>
              </w:rPr>
              <w:t xml:space="preserve">1). CPI_INFLATION: </w:t>
            </w:r>
            <w:proofErr w:type="gramStart"/>
            <w:r>
              <w:rPr>
                <w:color w:val="000000"/>
                <w:sz w:val="20"/>
                <w:szCs w:val="20"/>
              </w:rPr>
              <w:t>I(</w:t>
            </w:r>
            <w:proofErr w:type="gramEnd"/>
            <w:r>
              <w:rPr>
                <w:color w:val="000000"/>
                <w:sz w:val="20"/>
                <w:szCs w:val="20"/>
              </w:rPr>
              <w:t xml:space="preserve">0). LOG_EX: borderline, classified </w:t>
            </w:r>
            <w:proofErr w:type="gramStart"/>
            <w:r>
              <w:rPr>
                <w:color w:val="000000"/>
                <w:sz w:val="20"/>
                <w:szCs w:val="20"/>
              </w:rPr>
              <w:t>I(</w:t>
            </w:r>
            <w:proofErr w:type="gramEnd"/>
            <w:r>
              <w:rPr>
                <w:color w:val="000000"/>
                <w:sz w:val="20"/>
                <w:szCs w:val="20"/>
              </w:rPr>
              <w:t>1).</w:t>
            </w:r>
          </w:p>
        </w:tc>
        <w:tc>
          <w:tcPr>
            <w:tcW w:w="3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355B62" w14:textId="77777777" w:rsidR="00D576C9" w:rsidRDefault="00000000">
            <w:r>
              <w:rPr>
                <w:color w:val="000000"/>
                <w:sz w:val="20"/>
                <w:szCs w:val="20"/>
              </w:rPr>
              <w:t xml:space="preserve">Mixed integration order. OLS in levels on </w:t>
            </w:r>
            <w:proofErr w:type="gramStart"/>
            <w:r>
              <w:rPr>
                <w:color w:val="000000"/>
                <w:sz w:val="20"/>
                <w:szCs w:val="20"/>
              </w:rPr>
              <w:t>I(</w:t>
            </w:r>
            <w:proofErr w:type="gramEnd"/>
            <w:r>
              <w:rPr>
                <w:color w:val="000000"/>
                <w:sz w:val="20"/>
                <w:szCs w:val="20"/>
              </w:rPr>
              <w:t>1) series is spurious.</w:t>
            </w:r>
          </w:p>
        </w:tc>
      </w:tr>
      <w:tr w:rsidR="00D576C9" w14:paraId="0116035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40E3917" w14:textId="77777777" w:rsidR="00D576C9" w:rsidRDefault="00000000">
            <w:r>
              <w:rPr>
                <w:color w:val="000000"/>
                <w:sz w:val="20"/>
                <w:szCs w:val="20"/>
              </w:rPr>
              <w:t>Cointegration</w:t>
            </w:r>
          </w:p>
        </w:tc>
        <w:tc>
          <w:tcPr>
            <w:tcW w:w="32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0B12CCD" w14:textId="77777777" w:rsidR="00D576C9" w:rsidRDefault="00000000">
            <w:r>
              <w:rPr>
                <w:color w:val="000000"/>
                <w:sz w:val="20"/>
                <w:szCs w:val="20"/>
              </w:rPr>
              <w:t>No cointegration between LOG_M2 and LOG_GOVT (Trace p=0.77, Max-eigen p=0.81).</w:t>
            </w:r>
          </w:p>
        </w:tc>
        <w:tc>
          <w:tcPr>
            <w:tcW w:w="32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810A1A6" w14:textId="77777777" w:rsidR="00D576C9" w:rsidRDefault="00000000">
            <w:r>
              <w:rPr>
                <w:color w:val="000000"/>
                <w:sz w:val="20"/>
                <w:szCs w:val="20"/>
              </w:rPr>
              <w:t>No long-run equilibrium. ECM cannot be estimated. Growth rates are appropriate.</w:t>
            </w:r>
          </w:p>
        </w:tc>
      </w:tr>
      <w:tr w:rsidR="00D576C9" w14:paraId="0059AF2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8C117A" w14:textId="77777777" w:rsidR="00D576C9" w:rsidRDefault="00000000">
            <w:r>
              <w:rPr>
                <w:color w:val="000000"/>
                <w:sz w:val="20"/>
                <w:szCs w:val="20"/>
              </w:rPr>
              <w:t>ARIMA (CPI)</w:t>
            </w:r>
          </w:p>
        </w:tc>
        <w:tc>
          <w:tcPr>
            <w:tcW w:w="3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87577A" w14:textId="77777777" w:rsidR="00D576C9" w:rsidRDefault="00000000">
            <w:proofErr w:type="gramStart"/>
            <w:r>
              <w:rPr>
                <w:color w:val="000000"/>
                <w:sz w:val="20"/>
                <w:szCs w:val="20"/>
              </w:rPr>
              <w:t>AR(</w:t>
            </w:r>
            <w:proofErr w:type="gramEnd"/>
            <w:r>
              <w:rPr>
                <w:color w:val="000000"/>
                <w:sz w:val="20"/>
                <w:szCs w:val="20"/>
              </w:rPr>
              <w:t>2) selected: phi1=0.747, phi2=-0.237. Residuals are white noise.</w:t>
            </w:r>
          </w:p>
        </w:tc>
        <w:tc>
          <w:tcPr>
            <w:tcW w:w="3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33C6AC" w14:textId="77777777" w:rsidR="00D576C9" w:rsidRDefault="00000000">
            <w:r>
              <w:rPr>
                <w:color w:val="000000"/>
                <w:sz w:val="20"/>
                <w:szCs w:val="20"/>
              </w:rPr>
              <w:t>Inflation is persistent with partial mean-reversion at a two-year horizon.</w:t>
            </w:r>
          </w:p>
        </w:tc>
      </w:tr>
      <w:tr w:rsidR="00D576C9" w14:paraId="0A393C7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BA0DF42" w14:textId="77777777" w:rsidR="00D576C9" w:rsidRDefault="00000000">
            <w:r>
              <w:rPr>
                <w:color w:val="000000"/>
                <w:sz w:val="20"/>
                <w:szCs w:val="20"/>
              </w:rPr>
              <w:t>VAR (4 variables)</w:t>
            </w:r>
          </w:p>
        </w:tc>
        <w:tc>
          <w:tcPr>
            <w:tcW w:w="32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5A19F06" w14:textId="77777777" w:rsidR="00D576C9" w:rsidRDefault="00000000">
            <w:r>
              <w:rPr>
                <w:color w:val="000000"/>
                <w:sz w:val="20"/>
                <w:szCs w:val="20"/>
              </w:rPr>
              <w:t>M2_GROWTH Granger-causes EX_GROWTH (p=0.024). All other causalities insignificant.</w:t>
            </w:r>
          </w:p>
        </w:tc>
        <w:tc>
          <w:tcPr>
            <w:tcW w:w="32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45E8C4E" w14:textId="77777777" w:rsidR="00D576C9" w:rsidRDefault="00000000">
            <w:r>
              <w:rPr>
                <w:color w:val="000000"/>
                <w:sz w:val="20"/>
                <w:szCs w:val="20"/>
              </w:rPr>
              <w:t>Monetary expansion precedes exchange rate adjustment. System has limited interdependence at annual frequency.</w:t>
            </w:r>
          </w:p>
        </w:tc>
      </w:tr>
      <w:tr w:rsidR="00D576C9" w14:paraId="39783BE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D0860E" w14:textId="77777777" w:rsidR="00D576C9" w:rsidRDefault="00000000">
            <w:r>
              <w:rPr>
                <w:color w:val="000000"/>
                <w:sz w:val="20"/>
                <w:szCs w:val="20"/>
              </w:rPr>
              <w:t>ARCH/GARCH</w:t>
            </w:r>
          </w:p>
        </w:tc>
        <w:tc>
          <w:tcPr>
            <w:tcW w:w="3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B39A1B" w14:textId="77777777" w:rsidR="00D576C9" w:rsidRDefault="00000000">
            <w:r>
              <w:rPr>
                <w:color w:val="000000"/>
                <w:sz w:val="20"/>
                <w:szCs w:val="20"/>
              </w:rPr>
              <w:t>No ARCH effects in CPI or EX_GROWTH (p&gt;0.90). Annual data insufficient for GARCH.</w:t>
            </w:r>
          </w:p>
        </w:tc>
        <w:tc>
          <w:tcPr>
            <w:tcW w:w="3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2BE18B" w14:textId="77777777" w:rsidR="00D576C9" w:rsidRDefault="00000000">
            <w:r>
              <w:rPr>
                <w:color w:val="000000"/>
                <w:sz w:val="20"/>
                <w:szCs w:val="20"/>
              </w:rPr>
              <w:t>GARCH appropriate only for high-frequency financial data. Thesis (daily BTC/KSE) will show ARCH effects.</w:t>
            </w:r>
          </w:p>
        </w:tc>
      </w:tr>
    </w:tbl>
    <w:p w14:paraId="549F05C7" w14:textId="77777777" w:rsidR="00D576C9" w:rsidRDefault="00D576C9">
      <w:pPr>
        <w:spacing w:after="120"/>
      </w:pPr>
    </w:p>
    <w:p w14:paraId="73AD7C9B" w14:textId="77777777" w:rsidR="00D576C9" w:rsidRDefault="00000000" w:rsidP="00C801A9">
      <w:pPr>
        <w:spacing w:before="60" w:after="100" w:line="300" w:lineRule="auto"/>
        <w:jc w:val="both"/>
      </w:pPr>
      <w:r>
        <w:rPr>
          <w:color w:val="595959"/>
        </w:rPr>
        <w:lastRenderedPageBreak/>
        <w:t xml:space="preserve">This project formally validates the growth rate transformations applied in Project 2 (Inflation Determinants). The use of </w:t>
      </w:r>
      <w:proofErr w:type="spellStart"/>
      <w:proofErr w:type="gramStart"/>
      <w:r>
        <w:rPr>
          <w:color w:val="595959"/>
        </w:rPr>
        <w:t>dlog</w:t>
      </w:r>
      <w:proofErr w:type="spellEnd"/>
      <w:r>
        <w:rPr>
          <w:color w:val="595959"/>
        </w:rPr>
        <w:t>(</w:t>
      </w:r>
      <w:proofErr w:type="gramEnd"/>
      <w:r>
        <w:rPr>
          <w:color w:val="595959"/>
        </w:rPr>
        <w:t>)*100 transformations was intuitively correct but lacked formal justification; the unit root analysis here provides that justification rigorously. It also establishes the complete Stage 3 time series econometrics foundation required for the Bitcoin-KSE100 volatility spillover thesis.</w:t>
      </w:r>
    </w:p>
    <w:p w14:paraId="619233ED" w14:textId="77777777" w:rsidR="00D576C9" w:rsidRDefault="00D576C9">
      <w:pPr>
        <w:spacing w:after="120"/>
      </w:pPr>
    </w:p>
    <w:p w14:paraId="40DF0169" w14:textId="77777777" w:rsidR="00D576C9" w:rsidRDefault="00000000">
      <w:pPr>
        <w:pStyle w:val="Heading1"/>
        <w:pBdr>
          <w:bottom w:val="single" w:sz="6" w:space="4" w:color="2E75B6"/>
        </w:pBdr>
      </w:pPr>
      <w:r>
        <w:t>Appendix: Software and Replication Notes</w:t>
      </w:r>
    </w:p>
    <w:p w14:paraId="4645EBB7" w14:textId="77777777" w:rsidR="00D576C9" w:rsidRDefault="00000000" w:rsidP="00C801A9">
      <w:pPr>
        <w:spacing w:before="60" w:after="100" w:line="300" w:lineRule="auto"/>
        <w:jc w:val="both"/>
      </w:pPr>
      <w:r>
        <w:rPr>
          <w:color w:val="595959"/>
        </w:rPr>
        <w:t>All analysis was conducted in EViews using ARMA Maximum Likelihood (BFGS) estimation for ARMA models and standard OLS/GLS for regression equations. ADF unit root tests used SIC-based automatic lag selection (</w:t>
      </w:r>
      <w:proofErr w:type="spellStart"/>
      <w:r>
        <w:rPr>
          <w:color w:val="595959"/>
        </w:rPr>
        <w:t>maxlag</w:t>
      </w:r>
      <w:proofErr w:type="spellEnd"/>
      <w:r>
        <w:rPr>
          <w:color w:val="595959"/>
        </w:rPr>
        <w:t>=10). KPSS tests used the Newey-West automatic bandwidth selection with Bartlett kernel. Johansen cointegration tests used Case 3 specification (constant in cointegrating equation and in short-run dynamics). VAR estimation used 43 observations (1978-2020) after adjustment for lag consumption.</w:t>
      </w:r>
    </w:p>
    <w:p w14:paraId="0370ABC4" w14:textId="77777777" w:rsidR="00D576C9" w:rsidRDefault="00000000" w:rsidP="00C801A9">
      <w:pPr>
        <w:spacing w:before="60" w:after="100" w:line="300" w:lineRule="auto"/>
        <w:jc w:val="both"/>
      </w:pPr>
      <w:r>
        <w:rPr>
          <w:color w:val="595959"/>
        </w:rPr>
        <w:t xml:space="preserve">Growth rate variables are defined as: M2_GROWTH = </w:t>
      </w:r>
      <w:proofErr w:type="spellStart"/>
      <w:proofErr w:type="gramStart"/>
      <w:r>
        <w:rPr>
          <w:color w:val="595959"/>
        </w:rPr>
        <w:t>dlog</w:t>
      </w:r>
      <w:proofErr w:type="spellEnd"/>
      <w:r>
        <w:rPr>
          <w:color w:val="595959"/>
        </w:rPr>
        <w:t>(</w:t>
      </w:r>
      <w:proofErr w:type="gramEnd"/>
      <w:r>
        <w:rPr>
          <w:color w:val="595959"/>
        </w:rPr>
        <w:t>Money_Supply_M</w:t>
      </w:r>
      <w:proofErr w:type="gramStart"/>
      <w:r>
        <w:rPr>
          <w:color w:val="595959"/>
        </w:rPr>
        <w:t>2)*</w:t>
      </w:r>
      <w:proofErr w:type="gramEnd"/>
      <w:r>
        <w:rPr>
          <w:color w:val="595959"/>
        </w:rPr>
        <w:t xml:space="preserve">100; GOVT_GROWTH = </w:t>
      </w:r>
      <w:proofErr w:type="spellStart"/>
      <w:proofErr w:type="gramStart"/>
      <w:r>
        <w:rPr>
          <w:color w:val="595959"/>
        </w:rPr>
        <w:t>dlog</w:t>
      </w:r>
      <w:proofErr w:type="spellEnd"/>
      <w:r>
        <w:rPr>
          <w:color w:val="595959"/>
        </w:rPr>
        <w:t>(</w:t>
      </w:r>
      <w:proofErr w:type="spellStart"/>
      <w:proofErr w:type="gramEnd"/>
      <w:r>
        <w:rPr>
          <w:color w:val="595959"/>
        </w:rPr>
        <w:t>Govt_</w:t>
      </w:r>
      <w:proofErr w:type="gramStart"/>
      <w:r>
        <w:rPr>
          <w:color w:val="595959"/>
        </w:rPr>
        <w:t>Expenditure</w:t>
      </w:r>
      <w:proofErr w:type="spellEnd"/>
      <w:r>
        <w:rPr>
          <w:color w:val="595959"/>
        </w:rPr>
        <w:t>)*</w:t>
      </w:r>
      <w:proofErr w:type="gramEnd"/>
      <w:r>
        <w:rPr>
          <w:color w:val="595959"/>
        </w:rPr>
        <w:t xml:space="preserve">100; EX_GROWTH = </w:t>
      </w:r>
      <w:proofErr w:type="spellStart"/>
      <w:proofErr w:type="gramStart"/>
      <w:r>
        <w:rPr>
          <w:color w:val="595959"/>
        </w:rPr>
        <w:t>dlog</w:t>
      </w:r>
      <w:proofErr w:type="spellEnd"/>
      <w:r>
        <w:rPr>
          <w:color w:val="595959"/>
        </w:rPr>
        <w:t>(</w:t>
      </w:r>
      <w:proofErr w:type="spellStart"/>
      <w:proofErr w:type="gramEnd"/>
      <w:r>
        <w:rPr>
          <w:color w:val="595959"/>
        </w:rPr>
        <w:t>Exchange_</w:t>
      </w:r>
      <w:proofErr w:type="gramStart"/>
      <w:r>
        <w:rPr>
          <w:color w:val="595959"/>
        </w:rPr>
        <w:t>Rate</w:t>
      </w:r>
      <w:proofErr w:type="spellEnd"/>
      <w:r>
        <w:rPr>
          <w:color w:val="595959"/>
        </w:rPr>
        <w:t>)*</w:t>
      </w:r>
      <w:proofErr w:type="gramEnd"/>
      <w:r>
        <w:rPr>
          <w:color w:val="595959"/>
        </w:rPr>
        <w:t xml:space="preserve">100. Log-level variables: LOG_M2 = </w:t>
      </w:r>
      <w:proofErr w:type="gramStart"/>
      <w:r>
        <w:rPr>
          <w:color w:val="595959"/>
        </w:rPr>
        <w:t>log(</w:t>
      </w:r>
      <w:proofErr w:type="gramEnd"/>
      <w:r>
        <w:rPr>
          <w:color w:val="595959"/>
        </w:rPr>
        <w:t xml:space="preserve">Money_Supply_M2); LOG_GOVT = </w:t>
      </w:r>
      <w:proofErr w:type="gramStart"/>
      <w:r>
        <w:rPr>
          <w:color w:val="595959"/>
        </w:rPr>
        <w:t>log(</w:t>
      </w:r>
      <w:proofErr w:type="spellStart"/>
      <w:proofErr w:type="gramEnd"/>
      <w:r>
        <w:rPr>
          <w:color w:val="595959"/>
        </w:rPr>
        <w:t>Govt_Expenditure</w:t>
      </w:r>
      <w:proofErr w:type="spellEnd"/>
      <w:r>
        <w:rPr>
          <w:color w:val="595959"/>
        </w:rPr>
        <w:t xml:space="preserve">); LOG_EX = </w:t>
      </w:r>
      <w:proofErr w:type="gramStart"/>
      <w:r>
        <w:rPr>
          <w:color w:val="595959"/>
        </w:rPr>
        <w:t>log(</w:t>
      </w:r>
      <w:proofErr w:type="spellStart"/>
      <w:proofErr w:type="gramEnd"/>
      <w:r>
        <w:rPr>
          <w:color w:val="595959"/>
        </w:rPr>
        <w:t>Exchange_Rate</w:t>
      </w:r>
      <w:proofErr w:type="spellEnd"/>
      <w:r>
        <w:rPr>
          <w:color w:val="595959"/>
        </w:rPr>
        <w:t>).</w:t>
      </w:r>
    </w:p>
    <w:p w14:paraId="147A4158" w14:textId="77777777" w:rsidR="00D576C9" w:rsidRDefault="00000000" w:rsidP="00C801A9">
      <w:pPr>
        <w:spacing w:before="60" w:after="100" w:line="300" w:lineRule="auto"/>
        <w:jc w:val="both"/>
      </w:pPr>
      <w:r>
        <w:rPr>
          <w:color w:val="595959"/>
        </w:rPr>
        <w:t>Data source: State Bank of Pakistan (SBP) annual statistical publications. The reader is advised to obtain the original data directly from the SBP website to verify all results reported herein.</w:t>
      </w:r>
    </w:p>
    <w:p w14:paraId="312976DB" w14:textId="77777777" w:rsidR="00D576C9" w:rsidRDefault="00D576C9">
      <w:pPr>
        <w:spacing w:after="120"/>
      </w:pPr>
    </w:p>
    <w:sectPr w:rsidR="00D576C9">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B121D" w14:textId="77777777" w:rsidR="00D86C19" w:rsidRDefault="00D86C19">
      <w:r>
        <w:separator/>
      </w:r>
    </w:p>
  </w:endnote>
  <w:endnote w:type="continuationSeparator" w:id="0">
    <w:p w14:paraId="6C1D0007" w14:textId="77777777" w:rsidR="00D86C19" w:rsidRDefault="00D86C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C58E6" w14:textId="77777777" w:rsidR="00D576C9" w:rsidRDefault="00000000">
    <w:pPr>
      <w:pBdr>
        <w:top w:val="single" w:sz="4" w:space="4" w:color="2E75B6"/>
      </w:pBdr>
      <w:tabs>
        <w:tab w:val="right" w:pos="9026"/>
      </w:tabs>
      <w:spacing w:before="120"/>
    </w:pPr>
    <w:r>
      <w:rPr>
        <w:color w:val="595959"/>
        <w:sz w:val="18"/>
        <w:szCs w:val="18"/>
      </w:rPr>
      <w:t>COMSATS University Islamabad | BS Economics | June 2026</w:t>
    </w:r>
    <w:r>
      <w:rPr>
        <w:color w:val="595959"/>
        <w:sz w:val="18"/>
        <w:szCs w:val="18"/>
      </w:rPr>
      <w:tab/>
      <w:t xml:space="preserve">Page </w:t>
    </w:r>
    <w:r>
      <w:fldChar w:fldCharType="begin"/>
    </w:r>
    <w:r>
      <w:instrText>PAGE</w:instrText>
    </w:r>
    <w:r>
      <w:fldChar w:fldCharType="separate"/>
    </w:r>
    <w:r w:rsidR="00BE1F0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DAAC2" w14:textId="77777777" w:rsidR="00D86C19" w:rsidRDefault="00D86C19">
      <w:r>
        <w:separator/>
      </w:r>
    </w:p>
  </w:footnote>
  <w:footnote w:type="continuationSeparator" w:id="0">
    <w:p w14:paraId="09F01245" w14:textId="77777777" w:rsidR="00D86C19" w:rsidRDefault="00D86C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8AED0" w14:textId="77777777" w:rsidR="00D576C9" w:rsidRDefault="00000000">
    <w:pPr>
      <w:pBdr>
        <w:bottom w:val="single" w:sz="4" w:space="4" w:color="2E75B6"/>
      </w:pBdr>
      <w:spacing w:after="120"/>
      <w:jc w:val="right"/>
    </w:pPr>
    <w:r>
      <w:rPr>
        <w:color w:val="595959"/>
        <w:sz w:val="18"/>
        <w:szCs w:val="18"/>
      </w:rPr>
      <w:t>Time Series Econometrics — Pakistan Macro Variables (1970-2020)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33144"/>
    <w:multiLevelType w:val="hybridMultilevel"/>
    <w:tmpl w:val="9028F1CC"/>
    <w:lvl w:ilvl="0" w:tplc="B318390A">
      <w:start w:val="1"/>
      <w:numFmt w:val="bullet"/>
      <w:lvlText w:val="•"/>
      <w:lvlJc w:val="left"/>
      <w:pPr>
        <w:ind w:left="720" w:hanging="360"/>
      </w:pPr>
    </w:lvl>
    <w:lvl w:ilvl="1" w:tplc="853CB4EE">
      <w:numFmt w:val="decimal"/>
      <w:lvlText w:val=""/>
      <w:lvlJc w:val="left"/>
    </w:lvl>
    <w:lvl w:ilvl="2" w:tplc="AAAE7670">
      <w:numFmt w:val="decimal"/>
      <w:lvlText w:val=""/>
      <w:lvlJc w:val="left"/>
    </w:lvl>
    <w:lvl w:ilvl="3" w:tplc="1D7A3260">
      <w:numFmt w:val="decimal"/>
      <w:lvlText w:val=""/>
      <w:lvlJc w:val="left"/>
    </w:lvl>
    <w:lvl w:ilvl="4" w:tplc="D87A71B2">
      <w:numFmt w:val="decimal"/>
      <w:lvlText w:val=""/>
      <w:lvlJc w:val="left"/>
    </w:lvl>
    <w:lvl w:ilvl="5" w:tplc="181684F6">
      <w:numFmt w:val="decimal"/>
      <w:lvlText w:val=""/>
      <w:lvlJc w:val="left"/>
    </w:lvl>
    <w:lvl w:ilvl="6" w:tplc="6C7C540A">
      <w:numFmt w:val="decimal"/>
      <w:lvlText w:val=""/>
      <w:lvlJc w:val="left"/>
    </w:lvl>
    <w:lvl w:ilvl="7" w:tplc="7452D798">
      <w:numFmt w:val="decimal"/>
      <w:lvlText w:val=""/>
      <w:lvlJc w:val="left"/>
    </w:lvl>
    <w:lvl w:ilvl="8" w:tplc="62083824">
      <w:numFmt w:val="decimal"/>
      <w:lvlText w:val=""/>
      <w:lvlJc w:val="left"/>
    </w:lvl>
  </w:abstractNum>
  <w:abstractNum w:abstractNumId="1" w15:restartNumberingAfterBreak="0">
    <w:nsid w:val="5E1C1C46"/>
    <w:multiLevelType w:val="hybridMultilevel"/>
    <w:tmpl w:val="22649E74"/>
    <w:lvl w:ilvl="0" w:tplc="4DC02818">
      <w:start w:val="1"/>
      <w:numFmt w:val="bullet"/>
      <w:lvlText w:val="●"/>
      <w:lvlJc w:val="left"/>
      <w:pPr>
        <w:ind w:left="720" w:hanging="360"/>
      </w:pPr>
    </w:lvl>
    <w:lvl w:ilvl="1" w:tplc="7408BF0E">
      <w:start w:val="1"/>
      <w:numFmt w:val="bullet"/>
      <w:lvlText w:val="○"/>
      <w:lvlJc w:val="left"/>
      <w:pPr>
        <w:ind w:left="1440" w:hanging="360"/>
      </w:pPr>
    </w:lvl>
    <w:lvl w:ilvl="2" w:tplc="07C4308C">
      <w:start w:val="1"/>
      <w:numFmt w:val="bullet"/>
      <w:lvlText w:val="■"/>
      <w:lvlJc w:val="left"/>
      <w:pPr>
        <w:ind w:left="2160" w:hanging="360"/>
      </w:pPr>
    </w:lvl>
    <w:lvl w:ilvl="3" w:tplc="CCAA2E78">
      <w:start w:val="1"/>
      <w:numFmt w:val="bullet"/>
      <w:lvlText w:val="●"/>
      <w:lvlJc w:val="left"/>
      <w:pPr>
        <w:ind w:left="2880" w:hanging="360"/>
      </w:pPr>
    </w:lvl>
    <w:lvl w:ilvl="4" w:tplc="253495C2">
      <w:start w:val="1"/>
      <w:numFmt w:val="bullet"/>
      <w:lvlText w:val="○"/>
      <w:lvlJc w:val="left"/>
      <w:pPr>
        <w:ind w:left="3600" w:hanging="360"/>
      </w:pPr>
    </w:lvl>
    <w:lvl w:ilvl="5" w:tplc="D6AC0B4E">
      <w:start w:val="1"/>
      <w:numFmt w:val="bullet"/>
      <w:lvlText w:val="■"/>
      <w:lvlJc w:val="left"/>
      <w:pPr>
        <w:ind w:left="4320" w:hanging="360"/>
      </w:pPr>
    </w:lvl>
    <w:lvl w:ilvl="6" w:tplc="EEE6A382">
      <w:start w:val="1"/>
      <w:numFmt w:val="bullet"/>
      <w:lvlText w:val="●"/>
      <w:lvlJc w:val="left"/>
      <w:pPr>
        <w:ind w:left="5040" w:hanging="360"/>
      </w:pPr>
    </w:lvl>
    <w:lvl w:ilvl="7" w:tplc="4C8C0BDE">
      <w:start w:val="1"/>
      <w:numFmt w:val="bullet"/>
      <w:lvlText w:val="●"/>
      <w:lvlJc w:val="left"/>
      <w:pPr>
        <w:ind w:left="5760" w:hanging="360"/>
      </w:pPr>
    </w:lvl>
    <w:lvl w:ilvl="8" w:tplc="AA10A5C6">
      <w:start w:val="1"/>
      <w:numFmt w:val="bullet"/>
      <w:lvlText w:val="●"/>
      <w:lvlJc w:val="left"/>
      <w:pPr>
        <w:ind w:left="6480" w:hanging="360"/>
      </w:pPr>
    </w:lvl>
  </w:abstractNum>
  <w:num w:numId="1" w16cid:durableId="11729881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6C9"/>
    <w:rsid w:val="00040581"/>
    <w:rsid w:val="00625007"/>
    <w:rsid w:val="0071484A"/>
    <w:rsid w:val="00773F9F"/>
    <w:rsid w:val="007B2A6F"/>
    <w:rsid w:val="007F70F8"/>
    <w:rsid w:val="00A64816"/>
    <w:rsid w:val="00B463FD"/>
    <w:rsid w:val="00B47808"/>
    <w:rsid w:val="00BE1F03"/>
    <w:rsid w:val="00C801A9"/>
    <w:rsid w:val="00D576C9"/>
    <w:rsid w:val="00D86C19"/>
    <w:rsid w:val="00DC5D1B"/>
    <w:rsid w:val="00DF5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A7309"/>
  <w15:docId w15:val="{938599C7-5500-4562-A88B-8E78A19BD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spacing w:before="180" w:after="80"/>
      <w:outlineLvl w:val="2"/>
    </w:pPr>
    <w:rPr>
      <w:b/>
      <w:bCs/>
      <w:color w:val="59595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3208</Words>
  <Characters>18287</Characters>
  <Application>Microsoft Office Word</Application>
  <DocSecurity>0</DocSecurity>
  <Lines>152</Lines>
  <Paragraphs>42</Paragraphs>
  <ScaleCrop>false</ScaleCrop>
  <Company/>
  <LinksUpToDate>false</LinksUpToDate>
  <CharactersWithSpaces>21453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Ahmer Anwaar</cp:lastModifiedBy>
  <cp:revision>13</cp:revision>
  <dcterms:created xsi:type="dcterms:W3CDTF">2026-06-24T06:03:00Z</dcterms:created>
  <dcterms:modified xsi:type="dcterms:W3CDTF">2026-06-24T06:10:00Z</dcterms:modified>
</cp:coreProperties>
</file>