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3EEAD" w14:textId="77777777" w:rsidR="007E00E9" w:rsidRDefault="007E00E9">
      <w:pPr>
        <w:spacing w:after="80"/>
      </w:pPr>
    </w:p>
    <w:p w14:paraId="668862AC" w14:textId="77777777" w:rsidR="007E00E9" w:rsidRDefault="007E00E9">
      <w:pPr>
        <w:spacing w:after="80"/>
      </w:pPr>
    </w:p>
    <w:p w14:paraId="193E5C32" w14:textId="77777777" w:rsidR="007E00E9" w:rsidRDefault="007E00E9">
      <w:pPr>
        <w:spacing w:after="80"/>
      </w:pPr>
    </w:p>
    <w:p w14:paraId="0863995F" w14:textId="77777777" w:rsidR="007E00E9" w:rsidRDefault="007E00E9">
      <w:pPr>
        <w:spacing w:after="80"/>
      </w:pPr>
    </w:p>
    <w:p w14:paraId="6FFF959E" w14:textId="77777777" w:rsidR="007E00E9" w:rsidRDefault="007E00E9">
      <w:pPr>
        <w:spacing w:after="80"/>
      </w:pPr>
    </w:p>
    <w:p w14:paraId="3B1BD2DF" w14:textId="77777777" w:rsidR="007E00E9" w:rsidRDefault="007E00E9">
      <w:pPr>
        <w:spacing w:after="80"/>
      </w:pPr>
    </w:p>
    <w:p w14:paraId="3575943F" w14:textId="77777777" w:rsidR="007E00E9" w:rsidRDefault="00000000">
      <w:pPr>
        <w:spacing w:after="80"/>
        <w:jc w:val="center"/>
      </w:pPr>
      <w:r>
        <w:rPr>
          <w:rFonts w:ascii="Calibri" w:eastAsia="Calibri" w:hAnsi="Calibri" w:cs="Calibri"/>
          <w:b/>
          <w:bCs/>
          <w:caps/>
          <w:color w:val="1A1A2E"/>
          <w:sz w:val="52"/>
          <w:szCs w:val="52"/>
        </w:rPr>
        <w:t>TAIL RISK IN PAKISTANI FINANCIAL MARKETS</w:t>
      </w:r>
    </w:p>
    <w:p w14:paraId="7AC5098D" w14:textId="77777777" w:rsidR="007E00E9" w:rsidRDefault="007E00E9">
      <w:pPr>
        <w:pBdr>
          <w:bottom w:val="single" w:sz="8" w:space="0" w:color="2C7BB6"/>
        </w:pBdr>
        <w:spacing w:after="200"/>
        <w:jc w:val="center"/>
      </w:pPr>
    </w:p>
    <w:p w14:paraId="740C702A" w14:textId="77777777" w:rsidR="007E00E9" w:rsidRDefault="00000000">
      <w:pPr>
        <w:spacing w:after="120"/>
        <w:jc w:val="center"/>
      </w:pPr>
      <w:r>
        <w:rPr>
          <w:rFonts w:ascii="Calibri" w:eastAsia="Calibri" w:hAnsi="Calibri" w:cs="Calibri"/>
          <w:i/>
          <w:iCs/>
          <w:color w:val="2C7BB6"/>
          <w:sz w:val="36"/>
          <w:szCs w:val="36"/>
        </w:rPr>
        <w:t>Value at Risk and Expected Shortfall</w:t>
      </w:r>
    </w:p>
    <w:p w14:paraId="1C37E489" w14:textId="77777777" w:rsidR="007E00E9" w:rsidRDefault="00000000">
      <w:pPr>
        <w:spacing w:after="60"/>
        <w:jc w:val="center"/>
      </w:pPr>
      <w:r>
        <w:rPr>
          <w:rFonts w:ascii="Calibri" w:eastAsia="Calibri" w:hAnsi="Calibri" w:cs="Calibri"/>
          <w:color w:val="4A4A6A"/>
          <w:sz w:val="32"/>
          <w:szCs w:val="32"/>
        </w:rPr>
        <w:t>for KSE-100 Equities and COMEX Gold</w:t>
      </w:r>
    </w:p>
    <w:p w14:paraId="27471731" w14:textId="77777777" w:rsidR="007E00E9" w:rsidRDefault="007E00E9">
      <w:pPr>
        <w:spacing w:after="80"/>
      </w:pPr>
    </w:p>
    <w:p w14:paraId="6D5167D9" w14:textId="77777777" w:rsidR="007E00E9" w:rsidRDefault="007E00E9">
      <w:pPr>
        <w:spacing w:after="80"/>
      </w:pPr>
    </w:p>
    <w:p w14:paraId="6709E0BF" w14:textId="77777777" w:rsidR="007E00E9" w:rsidRDefault="007E00E9">
      <w:pPr>
        <w:spacing w:after="80"/>
      </w:pPr>
    </w:p>
    <w:p w14:paraId="00FFF567" w14:textId="77777777" w:rsidR="007E00E9" w:rsidRDefault="007E00E9">
      <w:pPr>
        <w:spacing w:after="80"/>
      </w:pPr>
    </w:p>
    <w:p w14:paraId="7676271D" w14:textId="07BE5B4C" w:rsidR="007E00E9" w:rsidRDefault="00000000">
      <w:pPr>
        <w:spacing w:after="60"/>
        <w:jc w:val="center"/>
      </w:pPr>
      <w:r>
        <w:rPr>
          <w:rFonts w:ascii="Calibri" w:eastAsia="Calibri" w:hAnsi="Calibri" w:cs="Calibri"/>
          <w:color w:val="4A4A6A"/>
          <w:sz w:val="22"/>
          <w:szCs w:val="22"/>
        </w:rPr>
        <w:t xml:space="preserve">Ahmer </w:t>
      </w:r>
      <w:r w:rsidR="00BD2075">
        <w:rPr>
          <w:rFonts w:ascii="Calibri" w:eastAsia="Calibri" w:hAnsi="Calibri" w:cs="Calibri"/>
          <w:color w:val="4A4A6A"/>
          <w:sz w:val="22"/>
          <w:szCs w:val="22"/>
        </w:rPr>
        <w:t>Anwaar</w:t>
      </w:r>
      <w:r>
        <w:rPr>
          <w:rFonts w:ascii="Calibri" w:eastAsia="Calibri" w:hAnsi="Calibri" w:cs="Calibri"/>
          <w:color w:val="4A4A6A"/>
          <w:sz w:val="22"/>
          <w:szCs w:val="22"/>
        </w:rPr>
        <w:t>|  GitHub: ahmer-econ  |  August 2026</w:t>
      </w:r>
    </w:p>
    <w:p w14:paraId="2DC7744E" w14:textId="77777777" w:rsidR="007E00E9" w:rsidRDefault="00000000">
      <w:pPr>
        <w:spacing w:after="60"/>
        <w:jc w:val="center"/>
      </w:pPr>
      <w:r>
        <w:rPr>
          <w:rFonts w:ascii="Calibri" w:eastAsia="Calibri" w:hAnsi="Calibri" w:cs="Calibri"/>
          <w:i/>
          <w:iCs/>
          <w:color w:val="4A4A6A"/>
        </w:rPr>
        <w:t>Sample Period: January 2010 – August 2024  |  3,487 Daily Observations</w:t>
      </w:r>
    </w:p>
    <w:p w14:paraId="57C5A196" w14:textId="77777777" w:rsidR="007E00E9" w:rsidRDefault="00000000">
      <w:r>
        <w:br w:type="page"/>
      </w:r>
    </w:p>
    <w:p w14:paraId="53D4DBBF" w14:textId="77777777" w:rsidR="007E00E9" w:rsidRDefault="00000000">
      <w:pPr>
        <w:pStyle w:val="Heading1"/>
        <w:pBdr>
          <w:bottom w:val="single" w:sz="6" w:space="0" w:color="2C7BB6"/>
        </w:pBdr>
      </w:pPr>
      <w:r>
        <w:lastRenderedPageBreak/>
        <w:t>Abstract</w:t>
      </w:r>
    </w:p>
    <w:p w14:paraId="27FF0994" w14:textId="77777777" w:rsidR="007E00E9" w:rsidRDefault="00000000">
      <w:pPr>
        <w:spacing w:after="100"/>
        <w:jc w:val="both"/>
      </w:pPr>
      <w:r>
        <w:rPr>
          <w:rFonts w:ascii="Calibri" w:eastAsia="Calibri" w:hAnsi="Calibri" w:cs="Calibri"/>
          <w:color w:val="000000"/>
          <w:sz w:val="22"/>
          <w:szCs w:val="22"/>
        </w:rPr>
        <w:t>This report estimates and compares three methodologically distinct approaches to market risk measurement — Historical Simulation (HS), Parametric Variance-Covariance, and GARCH-Based Filtered Historical Simulation (FHS) — applied to daily return series for the KSE-100 Index and COMEX Gold over the period January 2010 to August 2024. Value at Risk (VaR) and Expected Shortfall (ES) are computed at the 95% and 99% confidence levels for each asset under each method. Formal backtesting is conducted using the Kupiec Proportion of Failures test and the Christoffersen Conditional Coverage test. Results demonstrate that both return series exhibit significant excess kurtosis and negative skewness — decisively rejecting normality — and that the Parametric method systematically underestimates tail risk at the 99% confidence level. Historical Simulation produces the most reliable breach counts across both assets. The Christoffersen test reveals persistent breach clustering in KSE-100 across all methods, pointing to the limitations of static VaR in the presence of volatility regime shifts. GARCH-FHS performs competitively at 99% but exhibits over-conservatism for COMEX Gold at 95% due to regime-sensitive volatility scaling.</w:t>
      </w:r>
    </w:p>
    <w:p w14:paraId="7E1F2869" w14:textId="77777777" w:rsidR="007E00E9" w:rsidRDefault="00000000">
      <w:r>
        <w:br w:type="page"/>
      </w:r>
    </w:p>
    <w:p w14:paraId="0C5E4673" w14:textId="77777777" w:rsidR="007E00E9" w:rsidRDefault="00000000">
      <w:pPr>
        <w:pStyle w:val="Heading1"/>
        <w:pBdr>
          <w:bottom w:val="single" w:sz="6" w:space="0" w:color="2C7BB6"/>
        </w:pBdr>
      </w:pPr>
      <w:r>
        <w:lastRenderedPageBreak/>
        <w:t>1. Introduction</w:t>
      </w:r>
    </w:p>
    <w:p w14:paraId="17C15876" w14:textId="77777777" w:rsidR="007E00E9" w:rsidRDefault="00000000">
      <w:pPr>
        <w:pStyle w:val="Heading2"/>
        <w:spacing w:before="280"/>
      </w:pPr>
      <w:r>
        <w:t>1.1 Motivation</w:t>
      </w:r>
    </w:p>
    <w:p w14:paraId="6F6B608F" w14:textId="77777777" w:rsidR="007E00E9" w:rsidRDefault="00000000">
      <w:pPr>
        <w:spacing w:after="100"/>
        <w:jc w:val="both"/>
      </w:pPr>
      <w:r>
        <w:rPr>
          <w:rFonts w:ascii="Calibri" w:eastAsia="Calibri" w:hAnsi="Calibri" w:cs="Calibri"/>
          <w:color w:val="000000"/>
          <w:sz w:val="22"/>
          <w:szCs w:val="22"/>
        </w:rPr>
        <w:t>Market risk quantification is a foundational requirement of modern financial risk management. Whether applied to equity portfolios, commodity exposures, or regulatory capital calculations, risk managers rely on statistical models to estimate the probability and magnitude of extreme losses. The two most widely used measures — Value at Risk and Expected Shortfall — form the backbone of the Basel III and Basel IV regulatory frameworks governing international banking.</w:t>
      </w:r>
    </w:p>
    <w:p w14:paraId="056448E9" w14:textId="77777777" w:rsidR="007E00E9" w:rsidRDefault="00000000">
      <w:pPr>
        <w:spacing w:after="100"/>
        <w:jc w:val="both"/>
      </w:pPr>
      <w:r>
        <w:rPr>
          <w:rFonts w:ascii="Calibri" w:eastAsia="Calibri" w:hAnsi="Calibri" w:cs="Calibri"/>
          <w:color w:val="000000"/>
          <w:sz w:val="22"/>
          <w:szCs w:val="22"/>
        </w:rPr>
        <w:t>Pakistan's financial markets present a particularly interesting empirical setting. The KSE-100 Index, the benchmark equity index of the Pakistan Stock Exchange, operates in an emerging market environment characterised by episodic macro-financial crises, currency pressures, political uncertainty, and periodic liquidity shocks. COMEX Gold, by contrast, is a globally traded safe-haven commodity with a well-documented countercyclical relationship to equity markets. Comparing tail risk across these two assets allows us to examine whether risk models calibrated on global markets translate appropriately to a volatile emerging market context.</w:t>
      </w:r>
    </w:p>
    <w:p w14:paraId="734DC8F7" w14:textId="77777777" w:rsidR="007E00E9" w:rsidRDefault="00000000">
      <w:pPr>
        <w:spacing w:after="100"/>
        <w:jc w:val="both"/>
      </w:pPr>
      <w:r>
        <w:rPr>
          <w:rFonts w:ascii="Calibri" w:eastAsia="Calibri" w:hAnsi="Calibri" w:cs="Calibri"/>
          <w:color w:val="000000"/>
          <w:sz w:val="22"/>
          <w:szCs w:val="22"/>
        </w:rPr>
        <w:t>This project contributes to the applied econometrics literature on Pakistani financial markets by rigorously estimating and backtesting VaR and ES using three methods of increasing sophistication, covering approximately 14.5 years of daily data spanning multiple stress episodes including the 2015 KSE correction, the 2018-2019 Pakistan balance of payments crisis, and the March 2020 COVID-19 market shock.</w:t>
      </w:r>
    </w:p>
    <w:p w14:paraId="0A23A006" w14:textId="77777777" w:rsidR="007E00E9" w:rsidRDefault="00000000">
      <w:pPr>
        <w:pStyle w:val="Heading2"/>
        <w:spacing w:before="280"/>
      </w:pPr>
      <w:r>
        <w:t>1.2 Research Objectives</w:t>
      </w:r>
    </w:p>
    <w:p w14:paraId="13BEB610" w14:textId="77777777" w:rsidR="007E00E9" w:rsidRDefault="00000000">
      <w:pPr>
        <w:spacing w:after="100"/>
        <w:jc w:val="both"/>
      </w:pPr>
      <w:r>
        <w:rPr>
          <w:rFonts w:ascii="Calibri" w:eastAsia="Calibri" w:hAnsi="Calibri" w:cs="Calibri"/>
          <w:color w:val="000000"/>
          <w:sz w:val="22"/>
          <w:szCs w:val="22"/>
        </w:rPr>
        <w:t>This report addresses four primary objectives:</w:t>
      </w:r>
    </w:p>
    <w:p w14:paraId="165B39EA" w14:textId="77777777" w:rsidR="007E00E9" w:rsidRDefault="00000000">
      <w:pPr>
        <w:spacing w:after="100"/>
        <w:jc w:val="both"/>
      </w:pPr>
      <w:r>
        <w:rPr>
          <w:rFonts w:ascii="Calibri" w:eastAsia="Calibri" w:hAnsi="Calibri" w:cs="Calibri"/>
          <w:color w:val="000000"/>
          <w:sz w:val="22"/>
          <w:szCs w:val="22"/>
        </w:rPr>
        <w:t>First, to characterise the distributional properties of daily returns for KSE-100 and COMEX Gold, with particular attention to fat tails and non-normality.</w:t>
      </w:r>
    </w:p>
    <w:p w14:paraId="44C97F07" w14:textId="77777777" w:rsidR="007E00E9" w:rsidRDefault="00000000">
      <w:pPr>
        <w:spacing w:after="100"/>
        <w:jc w:val="both"/>
      </w:pPr>
      <w:r>
        <w:rPr>
          <w:rFonts w:ascii="Calibri" w:eastAsia="Calibri" w:hAnsi="Calibri" w:cs="Calibri"/>
          <w:color w:val="000000"/>
          <w:sz w:val="22"/>
          <w:szCs w:val="22"/>
        </w:rPr>
        <w:t>Second, to estimate VaR and ES at 95% and 99% confidence levels using Historical Simulation, Parametric, and GARCH-FHS methods.</w:t>
      </w:r>
    </w:p>
    <w:p w14:paraId="011B1227" w14:textId="77777777" w:rsidR="007E00E9" w:rsidRDefault="00000000">
      <w:pPr>
        <w:spacing w:after="100"/>
        <w:jc w:val="both"/>
      </w:pPr>
      <w:r>
        <w:rPr>
          <w:rFonts w:ascii="Calibri" w:eastAsia="Calibri" w:hAnsi="Calibri" w:cs="Calibri"/>
          <w:color w:val="000000"/>
          <w:sz w:val="22"/>
          <w:szCs w:val="22"/>
        </w:rPr>
        <w:t>Third, to formally validate each model's accuracy through Kupiec POF and Christoffersen Conditional Coverage backtesting.</w:t>
      </w:r>
    </w:p>
    <w:p w14:paraId="06941725" w14:textId="77777777" w:rsidR="007E00E9" w:rsidRDefault="00000000">
      <w:pPr>
        <w:spacing w:after="100"/>
        <w:jc w:val="both"/>
      </w:pPr>
      <w:r>
        <w:rPr>
          <w:rFonts w:ascii="Calibri" w:eastAsia="Calibri" w:hAnsi="Calibri" w:cs="Calibri"/>
          <w:color w:val="000000"/>
          <w:sz w:val="22"/>
          <w:szCs w:val="22"/>
        </w:rPr>
        <w:t>Fourth, to identify which method best captures tail risk in Pakistani equity and global commodity markets, and to articulate the practical implications for risk managers.</w:t>
      </w:r>
    </w:p>
    <w:p w14:paraId="7A48AA06" w14:textId="77777777" w:rsidR="007E00E9" w:rsidRDefault="00000000">
      <w:pPr>
        <w:pStyle w:val="Heading2"/>
        <w:spacing w:before="280"/>
      </w:pPr>
      <w:r>
        <w:t>1.3 Data</w:t>
      </w:r>
    </w:p>
    <w:p w14:paraId="50AFADBC" w14:textId="77777777" w:rsidR="007E00E9" w:rsidRDefault="00000000">
      <w:pPr>
        <w:spacing w:after="100"/>
        <w:jc w:val="both"/>
      </w:pPr>
      <w:r>
        <w:rPr>
          <w:rFonts w:ascii="Calibri" w:eastAsia="Calibri" w:hAnsi="Calibri" w:cs="Calibri"/>
          <w:color w:val="000000"/>
          <w:sz w:val="22"/>
          <w:szCs w:val="22"/>
        </w:rPr>
        <w:t>KSE-100 daily closing prices were sourced from the Kaggle dataset 'Pakistan Stock Exchange KSE100 20 Years' (aleemaher, CC0 Public Domain licence), covering January 2004 to August 2024. COMEX Gold futures daily closing prices (ticker: GC=F) were retrieved from Yahoo Finance via the quantmod package in R, covering the same period. After inner-joining on common trading dates and restricting to January 2010 – August 2024, the final aligned sample contains 3,488 observations, yielding 3,487 daily log returns after first-differencing.</w:t>
      </w:r>
    </w:p>
    <w:p w14:paraId="7EA8E221" w14:textId="77777777" w:rsidR="007E00E9" w:rsidRDefault="00000000">
      <w:pPr>
        <w:pStyle w:val="Heading2"/>
        <w:spacing w:before="280"/>
      </w:pPr>
      <w:r>
        <w:t>1.4 Software</w:t>
      </w:r>
    </w:p>
    <w:p w14:paraId="2FF80E37" w14:textId="77777777" w:rsidR="007E00E9" w:rsidRDefault="00000000">
      <w:pPr>
        <w:spacing w:after="100"/>
        <w:jc w:val="both"/>
      </w:pPr>
      <w:r>
        <w:rPr>
          <w:rFonts w:ascii="Calibri" w:eastAsia="Calibri" w:hAnsi="Calibri" w:cs="Calibri"/>
          <w:color w:val="000000"/>
          <w:sz w:val="22"/>
          <w:szCs w:val="22"/>
        </w:rPr>
        <w:t>All analysis was conducted in R 4.6.0. Key packages used include quantmod for data retrieval, rugarch for GARCH estimation, ggplot2 for visualisation, moments and tseries for distributional diagnostics, and dplyr and readr for data management. All scripts are available at github.com/ahmer-econ.</w:t>
      </w:r>
    </w:p>
    <w:p w14:paraId="5A462221" w14:textId="77777777" w:rsidR="007E00E9" w:rsidRDefault="00000000">
      <w:r>
        <w:br w:type="page"/>
      </w:r>
    </w:p>
    <w:p w14:paraId="4F983723" w14:textId="77777777" w:rsidR="007E00E9" w:rsidRDefault="00000000">
      <w:pPr>
        <w:pStyle w:val="Heading1"/>
        <w:pBdr>
          <w:bottom w:val="single" w:sz="6" w:space="0" w:color="2C7BB6"/>
        </w:pBdr>
      </w:pPr>
      <w:r>
        <w:lastRenderedPageBreak/>
        <w:t>2. Methodology</w:t>
      </w:r>
    </w:p>
    <w:p w14:paraId="1D8809D1" w14:textId="77777777" w:rsidR="007E00E9" w:rsidRDefault="00000000">
      <w:pPr>
        <w:pStyle w:val="Heading2"/>
        <w:spacing w:before="280"/>
      </w:pPr>
      <w:r>
        <w:t>2.1 Return Computation</w:t>
      </w:r>
    </w:p>
    <w:p w14:paraId="06ED5113" w14:textId="77777777" w:rsidR="007E00E9" w:rsidRDefault="00000000">
      <w:pPr>
        <w:spacing w:after="100"/>
        <w:jc w:val="both"/>
      </w:pPr>
      <w:r>
        <w:rPr>
          <w:rFonts w:ascii="Calibri" w:eastAsia="Calibri" w:hAnsi="Calibri" w:cs="Calibri"/>
          <w:color w:val="000000"/>
          <w:sz w:val="22"/>
          <w:szCs w:val="22"/>
        </w:rPr>
        <w:t>Daily log returns are computed as r_t = 100 × ln(P_t / P_{t-1}), where P_t is the closing price on day t. Expressing returns in percentage form facilitates direct comparison with VaR and ES estimates reported in the same units.</w:t>
      </w:r>
    </w:p>
    <w:p w14:paraId="594BF794" w14:textId="77777777" w:rsidR="007E00E9" w:rsidRDefault="00000000">
      <w:pPr>
        <w:pStyle w:val="Heading2"/>
        <w:spacing w:before="280"/>
      </w:pPr>
      <w:r>
        <w:t>2.2 Distributional Diagnostics</w:t>
      </w:r>
    </w:p>
    <w:p w14:paraId="5265D303" w14:textId="77777777" w:rsidR="007E00E9" w:rsidRDefault="00000000">
      <w:pPr>
        <w:spacing w:after="100"/>
        <w:jc w:val="both"/>
      </w:pPr>
      <w:r>
        <w:rPr>
          <w:rFonts w:ascii="Calibri" w:eastAsia="Calibri" w:hAnsi="Calibri" w:cs="Calibri"/>
          <w:color w:val="000000"/>
          <w:sz w:val="22"/>
          <w:szCs w:val="22"/>
        </w:rPr>
        <w:t>Prior to model estimation, the empirical return distributions are characterised through descriptive statistics (mean, standard deviation, skewness, excess kurtosis) and formally tested for normality using the Jarque-Bera test. The null hypothesis of the Jarque-Bera test is that skewness equals zero and excess kurtosis equals zero simultaneously. Rejection of this null is the formal justification for preferring non-parametric or semi-parametric VaR methods over the parametric normal assumption.</w:t>
      </w:r>
    </w:p>
    <w:p w14:paraId="275D09A9" w14:textId="77777777" w:rsidR="007E00E9" w:rsidRDefault="00000000">
      <w:pPr>
        <w:pStyle w:val="Heading2"/>
        <w:spacing w:before="280"/>
      </w:pPr>
      <w:r>
        <w:t>2.3 Value at Risk and Expected Shortfall</w:t>
      </w:r>
    </w:p>
    <w:p w14:paraId="37485DA1" w14:textId="77777777" w:rsidR="007E00E9" w:rsidRDefault="00000000">
      <w:pPr>
        <w:spacing w:after="100"/>
        <w:jc w:val="both"/>
      </w:pPr>
      <w:r>
        <w:rPr>
          <w:rFonts w:ascii="Calibri" w:eastAsia="Calibri" w:hAnsi="Calibri" w:cs="Calibri"/>
          <w:color w:val="000000"/>
          <w:sz w:val="22"/>
          <w:szCs w:val="22"/>
        </w:rPr>
        <w:t>Value at Risk at confidence level α is defined as the loss threshold exceeded with probability (1 − α). Formally, VaR_α is the α-quantile of the return distribution: P(r_t &lt; VaR_α) = 1 − α. A 99% VaR of −3% means losses exceed 3% on only 1% of trading days.</w:t>
      </w:r>
    </w:p>
    <w:p w14:paraId="6E3CBD08" w14:textId="77777777" w:rsidR="007E00E9" w:rsidRDefault="00000000">
      <w:pPr>
        <w:spacing w:after="100"/>
        <w:jc w:val="both"/>
      </w:pPr>
      <w:r>
        <w:rPr>
          <w:rFonts w:ascii="Calibri" w:eastAsia="Calibri" w:hAnsi="Calibri" w:cs="Calibri"/>
          <w:color w:val="000000"/>
          <w:sz w:val="22"/>
          <w:szCs w:val="22"/>
        </w:rPr>
        <w:t>Expected Shortfall at confidence level α is defined as the conditional expected loss given that the loss exceeds VaR_α: ES_α = E[r_t | r_t &lt; VaR_α]. ES is always more negative than VaR at the same confidence level, and is considered a superior risk measure because it is coherent in the sense of Artzner et al. (1999) and captures the shape of the tail beyond the VaR threshold.</w:t>
      </w:r>
    </w:p>
    <w:p w14:paraId="2B2CCA0D" w14:textId="77777777" w:rsidR="007E00E9" w:rsidRDefault="00000000">
      <w:pPr>
        <w:pStyle w:val="Heading2"/>
        <w:spacing w:before="280"/>
      </w:pPr>
      <w:r>
        <w:t>2.4 Historical Simulation</w:t>
      </w:r>
    </w:p>
    <w:p w14:paraId="70502F29" w14:textId="77777777" w:rsidR="007E00E9" w:rsidRDefault="00000000">
      <w:pPr>
        <w:spacing w:after="100"/>
        <w:jc w:val="both"/>
      </w:pPr>
      <w:r>
        <w:rPr>
          <w:rFonts w:ascii="Calibri" w:eastAsia="Calibri" w:hAnsi="Calibri" w:cs="Calibri"/>
          <w:color w:val="000000"/>
          <w:sz w:val="22"/>
          <w:szCs w:val="22"/>
        </w:rPr>
        <w:t>Historical Simulation (HS) estimates VaR and ES directly from the empirical distribution of past returns, without imposing any parametric distributional assumption. The 95% VaR is the 5th percentile of the observed return series; the 99% VaR is the 1st percentile. ES is the mean of all returns falling below the VaR threshold. HS's principal advantage is its non-parametric nature; its limitation is that it assumes the future distribution will resemble the past and is sensitive to the length and composition of the historical window.</w:t>
      </w:r>
    </w:p>
    <w:p w14:paraId="4F2E1AF3" w14:textId="77777777" w:rsidR="007E00E9" w:rsidRDefault="00000000">
      <w:pPr>
        <w:pStyle w:val="Heading2"/>
        <w:spacing w:before="280"/>
      </w:pPr>
      <w:r>
        <w:t>2.5 Parametric (Variance-Covariance) Method</w:t>
      </w:r>
    </w:p>
    <w:p w14:paraId="36CCBB36" w14:textId="77777777" w:rsidR="007E00E9" w:rsidRDefault="00000000">
      <w:pPr>
        <w:spacing w:after="100"/>
        <w:jc w:val="both"/>
      </w:pPr>
      <w:r>
        <w:rPr>
          <w:rFonts w:ascii="Calibri" w:eastAsia="Calibri" w:hAnsi="Calibri" w:cs="Calibri"/>
          <w:color w:val="000000"/>
          <w:sz w:val="22"/>
          <w:szCs w:val="22"/>
        </w:rPr>
        <w:t>The Parametric method assumes that returns are normally distributed with mean μ and standard deviation σ estimated from the data. VaR is computed analytically as VaR_α = μ + σ × z_{1−α}, where z_{1−α} is the standard normal quantile. ES is computed as ES_α = μ − σ × φ(z_{1−α}) / (1 − α), where φ(·) is the standard normal density function. This method is computationally simple but imposes the normality assumption that the Jarque-Bera test will decisively reject for our data.</w:t>
      </w:r>
    </w:p>
    <w:p w14:paraId="6736E5C6" w14:textId="77777777" w:rsidR="007E00E9" w:rsidRDefault="00000000">
      <w:pPr>
        <w:pStyle w:val="Heading2"/>
        <w:spacing w:before="280"/>
      </w:pPr>
      <w:r>
        <w:t>2.6 GARCH(1,1) Filtered Historical Simulation</w:t>
      </w:r>
    </w:p>
    <w:p w14:paraId="4019D0FE" w14:textId="77777777" w:rsidR="007E00E9" w:rsidRDefault="00000000">
      <w:pPr>
        <w:spacing w:after="100"/>
        <w:jc w:val="both"/>
      </w:pPr>
      <w:r>
        <w:rPr>
          <w:rFonts w:ascii="Calibri" w:eastAsia="Calibri" w:hAnsi="Calibri" w:cs="Calibri"/>
          <w:color w:val="000000"/>
          <w:sz w:val="22"/>
          <w:szCs w:val="22"/>
        </w:rPr>
        <w:t>The GARCH(1,1) Filtered Historical Simulation method addresses two limitations of pure HS: it does not account for time-varying volatility (volatility clustering), and it uses the full historical distribution rather than adapting to the current volatility regime.</w:t>
      </w:r>
    </w:p>
    <w:p w14:paraId="397387FA" w14:textId="77777777" w:rsidR="007E00E9" w:rsidRDefault="00000000">
      <w:pPr>
        <w:spacing w:after="100"/>
        <w:jc w:val="both"/>
      </w:pPr>
      <w:r>
        <w:rPr>
          <w:rFonts w:ascii="Calibri" w:eastAsia="Calibri" w:hAnsi="Calibri" w:cs="Calibri"/>
          <w:color w:val="000000"/>
          <w:sz w:val="22"/>
          <w:szCs w:val="22"/>
        </w:rPr>
        <w:t>Step one estimates a GARCH(1,1) model for each asset: r_t = μ + ε_t, where ε_t = σ_t × z_t and σ_t² = ω + α₁ε_{t−1}² + β₁σ_{t−1}². The parameter α₁ captures the ARCH effect (sensitivity to recent shocks) and β₁ captures the GARCH effect (persistence of volatility). The sum α₁ + β₁ measures volatility persistence.</w:t>
      </w:r>
    </w:p>
    <w:p w14:paraId="20344449" w14:textId="77777777" w:rsidR="007E00E9" w:rsidRDefault="00000000">
      <w:pPr>
        <w:spacing w:after="100"/>
        <w:jc w:val="both"/>
      </w:pPr>
      <w:r>
        <w:rPr>
          <w:rFonts w:ascii="Calibri" w:eastAsia="Calibri" w:hAnsi="Calibri" w:cs="Calibri"/>
          <w:color w:val="000000"/>
          <w:sz w:val="22"/>
          <w:szCs w:val="22"/>
        </w:rPr>
        <w:lastRenderedPageBreak/>
        <w:t>Step two extracts standardised residuals z_t = ε_t / σ_t. If the GARCH model is correctly specified, these residuals should be approximately i.i.d. with mean zero and unit variance.</w:t>
      </w:r>
    </w:p>
    <w:p w14:paraId="102C5C6B" w14:textId="77777777" w:rsidR="007E00E9" w:rsidRDefault="00000000">
      <w:pPr>
        <w:spacing w:after="100"/>
        <w:jc w:val="both"/>
      </w:pPr>
      <w:r>
        <w:rPr>
          <w:rFonts w:ascii="Calibri" w:eastAsia="Calibri" w:hAnsi="Calibri" w:cs="Calibri"/>
          <w:color w:val="000000"/>
          <w:sz w:val="22"/>
          <w:szCs w:val="22"/>
        </w:rPr>
        <w:t>Step three constructs simulated returns using the last conditional volatility estimate σ_T and the empirical distribution of standardised residuals: r_sim = μ + σ_T × z_t. VaR and ES are then computed from this simulated distribution. This combines GARCH's forward-looking volatility estimate with the empirical fat-tailed innovation distribution, avoiding the normality assumption.</w:t>
      </w:r>
    </w:p>
    <w:p w14:paraId="10E23BAE" w14:textId="77777777" w:rsidR="007E00E9" w:rsidRDefault="00000000">
      <w:pPr>
        <w:pStyle w:val="Heading2"/>
        <w:spacing w:before="280"/>
      </w:pPr>
      <w:r>
        <w:t>2.7 Backtesting</w:t>
      </w:r>
    </w:p>
    <w:p w14:paraId="52184EA3" w14:textId="77777777" w:rsidR="007E00E9" w:rsidRDefault="00000000">
      <w:pPr>
        <w:spacing w:after="100"/>
        <w:jc w:val="both"/>
      </w:pPr>
      <w:r>
        <w:rPr>
          <w:rFonts w:ascii="Calibri" w:eastAsia="Calibri" w:hAnsi="Calibri" w:cs="Calibri"/>
          <w:color w:val="000000"/>
          <w:sz w:val="22"/>
          <w:szCs w:val="22"/>
        </w:rPr>
        <w:t>Kupiec Proportion of Failures (POF) Test: This test evaluates whether the observed breach rate equals the theoretical breach rate (1 − α). The test statistic LR_UC = −2[log L₀ − log L₁] follows a chi-squared distribution with one degree of freedom under the null hypothesis of correct unconditional coverage. A p-value below 0.05 indicates rejection — the model produces too many or too few breaches.</w:t>
      </w:r>
    </w:p>
    <w:p w14:paraId="098DA78C" w14:textId="77777777" w:rsidR="007E00E9" w:rsidRDefault="00000000">
      <w:pPr>
        <w:spacing w:after="100"/>
        <w:jc w:val="both"/>
      </w:pPr>
      <w:r>
        <w:rPr>
          <w:rFonts w:ascii="Calibri" w:eastAsia="Calibri" w:hAnsi="Calibri" w:cs="Calibri"/>
          <w:color w:val="000000"/>
          <w:sz w:val="22"/>
          <w:szCs w:val="22"/>
        </w:rPr>
        <w:t>Christoffersen Conditional Coverage Test: This test extends Kupiec by additionally testing whether breaches are independent over time. Clustered breaches — multiple violations occurring close together — indicate that the model fails to capture volatility dynamics. The conditional coverage statistic LR_CC = LR_UC + LR_IND follows a chi-squared distribution with two degrees of freedom. Passing the Christoffersen test is a stricter requirement than passing Kupiec alone.</w:t>
      </w:r>
    </w:p>
    <w:p w14:paraId="1A6161A8" w14:textId="77777777" w:rsidR="007E00E9" w:rsidRDefault="00000000">
      <w:r>
        <w:br w:type="page"/>
      </w:r>
    </w:p>
    <w:p w14:paraId="24EC1B90" w14:textId="77777777" w:rsidR="007E00E9" w:rsidRDefault="00000000">
      <w:pPr>
        <w:pStyle w:val="Heading1"/>
        <w:pBdr>
          <w:bottom w:val="single" w:sz="6" w:space="0" w:color="2C7BB6"/>
        </w:pBdr>
      </w:pPr>
      <w:r>
        <w:lastRenderedPageBreak/>
        <w:t>3. Distributional Properties of Returns</w:t>
      </w:r>
    </w:p>
    <w:p w14:paraId="10EA1944" w14:textId="77777777" w:rsidR="007E00E9" w:rsidRDefault="00000000">
      <w:pPr>
        <w:pStyle w:val="Heading2"/>
        <w:spacing w:before="280"/>
      </w:pPr>
      <w:r>
        <w:t>3.1 Return Series</w:t>
      </w:r>
    </w:p>
    <w:p w14:paraId="7FD7F0C9" w14:textId="77777777" w:rsidR="007E00E9" w:rsidRDefault="00000000">
      <w:pPr>
        <w:spacing w:after="100"/>
        <w:jc w:val="both"/>
      </w:pPr>
      <w:r>
        <w:rPr>
          <w:rFonts w:ascii="Calibri" w:eastAsia="Calibri" w:hAnsi="Calibri" w:cs="Calibri"/>
          <w:color w:val="000000"/>
          <w:sz w:val="22"/>
          <w:szCs w:val="22"/>
        </w:rPr>
        <w:t>Figures 1 and 2 plot the daily log return series for KSE-100 and COMEX Gold respectively over the full sample period. Both series display the hallmark features of financial return data: volatility clustering (periods of high volatility are followed by further high volatility), and occasional extreme observations that substantially exceed the typical daily range.</w:t>
      </w:r>
    </w:p>
    <w:p w14:paraId="1A3D39DF" w14:textId="77777777" w:rsidR="007E00E9" w:rsidRDefault="00000000">
      <w:pPr>
        <w:spacing w:after="100"/>
        <w:jc w:val="both"/>
      </w:pPr>
      <w:r>
        <w:rPr>
          <w:rFonts w:ascii="Calibri" w:eastAsia="Calibri" w:hAnsi="Calibri" w:cs="Calibri"/>
          <w:color w:val="000000"/>
          <w:sz w:val="22"/>
          <w:szCs w:val="22"/>
        </w:rPr>
        <w:t>For KSE-100, the dominant stress episode is clearly visible around March 2020, when the COVID-19 pandemic triggered the largest single-day loss in the sample (−7.10%). Secondary elevated volatility episodes are visible around 2015 (market correction) and 2018-2019 (Pakistan macro-financial stress). For COMEX Gold, COVID-19 produced an extreme positive return exceeding +11% in a single day — reflecting gold's safe-haven demand surge — alongside a sharp negative spike of approximately −9% in April 2013 (the gold flash crash).</w:t>
      </w:r>
    </w:p>
    <w:p w14:paraId="39E1D463" w14:textId="77777777" w:rsidR="007E00E9" w:rsidRDefault="00000000">
      <w:pPr>
        <w:spacing w:before="80" w:after="40"/>
        <w:jc w:val="center"/>
      </w:pPr>
      <w:r>
        <w:rPr>
          <w:noProof/>
        </w:rPr>
        <w:drawing>
          <wp:inline distT="0" distB="0" distL="0" distR="0" wp14:anchorId="76245542" wp14:editId="6AE7BFB5">
            <wp:extent cx="5524500" cy="2190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190750"/>
                    </a:xfrm>
                    <a:prstGeom prst="rect">
                      <a:avLst/>
                    </a:prstGeom>
                  </pic:spPr>
                </pic:pic>
              </a:graphicData>
            </a:graphic>
          </wp:inline>
        </w:drawing>
      </w:r>
    </w:p>
    <w:p w14:paraId="279DB288" w14:textId="77777777" w:rsidR="007E00E9" w:rsidRDefault="00000000">
      <w:pPr>
        <w:spacing w:before="40" w:after="160"/>
        <w:jc w:val="center"/>
      </w:pPr>
      <w:r>
        <w:rPr>
          <w:rFonts w:ascii="Calibri" w:eastAsia="Calibri" w:hAnsi="Calibri" w:cs="Calibri"/>
          <w:i/>
          <w:iCs/>
          <w:color w:val="4A4A6A"/>
          <w:sz w:val="18"/>
          <w:szCs w:val="18"/>
        </w:rPr>
        <w:t>Figure 1: KSE-100 Daily Log Returns (2010–2024)</w:t>
      </w:r>
    </w:p>
    <w:p w14:paraId="67D6D9B4" w14:textId="77777777" w:rsidR="007E00E9" w:rsidRDefault="00000000">
      <w:pPr>
        <w:spacing w:before="80" w:after="40"/>
        <w:jc w:val="center"/>
      </w:pPr>
      <w:r>
        <w:rPr>
          <w:noProof/>
        </w:rPr>
        <w:drawing>
          <wp:inline distT="0" distB="0" distL="0" distR="0" wp14:anchorId="57B270F9" wp14:editId="73A4E1C9">
            <wp:extent cx="5524500" cy="2190750"/>
            <wp:effectExtent l="0" t="0" r="0" b="0"/>
            <wp:docPr id="414720915" name="Picture 414720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190750"/>
                    </a:xfrm>
                    <a:prstGeom prst="rect">
                      <a:avLst/>
                    </a:prstGeom>
                  </pic:spPr>
                </pic:pic>
              </a:graphicData>
            </a:graphic>
          </wp:inline>
        </w:drawing>
      </w:r>
    </w:p>
    <w:p w14:paraId="386AC77A" w14:textId="77777777" w:rsidR="007E00E9" w:rsidRDefault="00000000">
      <w:pPr>
        <w:spacing w:before="40" w:after="160"/>
        <w:jc w:val="center"/>
      </w:pPr>
      <w:r>
        <w:rPr>
          <w:rFonts w:ascii="Calibri" w:eastAsia="Calibri" w:hAnsi="Calibri" w:cs="Calibri"/>
          <w:i/>
          <w:iCs/>
          <w:color w:val="4A4A6A"/>
          <w:sz w:val="18"/>
          <w:szCs w:val="18"/>
        </w:rPr>
        <w:t>Figure 2: COMEX Gold Daily Log Returns (2010–2024)</w:t>
      </w:r>
    </w:p>
    <w:p w14:paraId="09E0365C" w14:textId="77777777" w:rsidR="00A4543C" w:rsidRDefault="00A4543C">
      <w:pPr>
        <w:pStyle w:val="Heading2"/>
        <w:spacing w:before="280"/>
      </w:pPr>
    </w:p>
    <w:p w14:paraId="76D0C7B2" w14:textId="77777777" w:rsidR="00A4543C" w:rsidRDefault="00A4543C">
      <w:pPr>
        <w:pStyle w:val="Heading2"/>
        <w:spacing w:before="280"/>
      </w:pPr>
    </w:p>
    <w:p w14:paraId="40A3A0A8" w14:textId="77777777" w:rsidR="00A4543C" w:rsidRDefault="00A4543C">
      <w:pPr>
        <w:pStyle w:val="Heading2"/>
        <w:spacing w:before="280"/>
      </w:pPr>
    </w:p>
    <w:p w14:paraId="0997F4E7" w14:textId="77777777" w:rsidR="00A4543C" w:rsidRDefault="00A4543C">
      <w:pPr>
        <w:pStyle w:val="Heading2"/>
        <w:spacing w:before="280"/>
      </w:pPr>
    </w:p>
    <w:p w14:paraId="73735B2C" w14:textId="605720F3" w:rsidR="007E00E9" w:rsidRDefault="00000000">
      <w:pPr>
        <w:pStyle w:val="Heading2"/>
        <w:spacing w:before="280"/>
      </w:pPr>
      <w:r>
        <w:lastRenderedPageBreak/>
        <w:t>3.2 Descriptive Statistics and Normality Tests</w:t>
      </w:r>
    </w:p>
    <w:p w14:paraId="2B7DAE9B" w14:textId="77777777" w:rsidR="007E00E9" w:rsidRDefault="00000000">
      <w:pPr>
        <w:spacing w:after="100"/>
        <w:jc w:val="both"/>
      </w:pPr>
      <w:r>
        <w:rPr>
          <w:rFonts w:ascii="Calibri" w:eastAsia="Calibri" w:hAnsi="Calibri" w:cs="Calibri"/>
          <w:color w:val="000000"/>
          <w:sz w:val="22"/>
          <w:szCs w:val="22"/>
        </w:rPr>
        <w:t>Table 1 presents the full set of descriptive statistics and Jarque-Bera normality test results for both return series.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78"/>
        <w:gridCol w:w="2811"/>
        <w:gridCol w:w="2811"/>
      </w:tblGrid>
      <w:tr w:rsidR="007E00E9" w14:paraId="44FA06D2" w14:textId="77777777">
        <w:tblPrEx>
          <w:tblCellMar>
            <w:top w:w="0" w:type="dxa"/>
            <w:bottom w:w="0" w:type="dxa"/>
          </w:tblCellMar>
        </w:tblPrEx>
        <w:tc>
          <w:tcPr>
            <w:tcW w:w="2800" w:type="dxa"/>
            <w:shd w:val="clear" w:color="auto" w:fill="2C7BB6"/>
            <w:vAlign w:val="center"/>
          </w:tcPr>
          <w:p w14:paraId="0FA04176" w14:textId="77777777" w:rsidR="007E00E9" w:rsidRDefault="00000000">
            <w:pPr>
              <w:spacing w:before="80" w:after="80"/>
              <w:jc w:val="center"/>
            </w:pPr>
            <w:r>
              <w:rPr>
                <w:rFonts w:ascii="Calibri" w:eastAsia="Calibri" w:hAnsi="Calibri" w:cs="Calibri"/>
                <w:b/>
                <w:bCs/>
                <w:color w:val="FFFFFF"/>
                <w:sz w:val="19"/>
                <w:szCs w:val="19"/>
              </w:rPr>
              <w:t>Statistic</w:t>
            </w:r>
          </w:p>
        </w:tc>
        <w:tc>
          <w:tcPr>
            <w:tcW w:w="2200" w:type="dxa"/>
            <w:shd w:val="clear" w:color="auto" w:fill="2C7BB6"/>
            <w:vAlign w:val="center"/>
          </w:tcPr>
          <w:p w14:paraId="11FBF47B" w14:textId="77777777" w:rsidR="007E00E9" w:rsidRDefault="00000000">
            <w:pPr>
              <w:spacing w:before="80" w:after="80"/>
              <w:jc w:val="center"/>
            </w:pPr>
            <w:r>
              <w:rPr>
                <w:rFonts w:ascii="Calibri" w:eastAsia="Calibri" w:hAnsi="Calibri" w:cs="Calibri"/>
                <w:b/>
                <w:bCs/>
                <w:color w:val="FFFFFF"/>
                <w:sz w:val="19"/>
                <w:szCs w:val="19"/>
              </w:rPr>
              <w:t>KSE-100</w:t>
            </w:r>
          </w:p>
        </w:tc>
        <w:tc>
          <w:tcPr>
            <w:tcW w:w="2200" w:type="dxa"/>
            <w:shd w:val="clear" w:color="auto" w:fill="2C7BB6"/>
            <w:vAlign w:val="center"/>
          </w:tcPr>
          <w:p w14:paraId="09DED765" w14:textId="77777777" w:rsidR="007E00E9" w:rsidRDefault="00000000">
            <w:pPr>
              <w:spacing w:before="80" w:after="80"/>
              <w:jc w:val="center"/>
            </w:pPr>
            <w:r>
              <w:rPr>
                <w:rFonts w:ascii="Calibri" w:eastAsia="Calibri" w:hAnsi="Calibri" w:cs="Calibri"/>
                <w:b/>
                <w:bCs/>
                <w:color w:val="FFFFFF"/>
                <w:sz w:val="19"/>
                <w:szCs w:val="19"/>
              </w:rPr>
              <w:t>COMEX Gold</w:t>
            </w:r>
          </w:p>
        </w:tc>
      </w:tr>
      <w:tr w:rsidR="007E00E9" w14:paraId="3EDDA172" w14:textId="77777777">
        <w:tblPrEx>
          <w:tblCellMar>
            <w:top w:w="0" w:type="dxa"/>
            <w:bottom w:w="0" w:type="dxa"/>
          </w:tblCellMar>
        </w:tblPrEx>
        <w:tc>
          <w:tcPr>
            <w:tcW w:w="2800" w:type="dxa"/>
            <w:shd w:val="clear" w:color="auto" w:fill="F2F2F2"/>
            <w:vAlign w:val="center"/>
          </w:tcPr>
          <w:p w14:paraId="46E48AEB" w14:textId="77777777" w:rsidR="007E00E9" w:rsidRDefault="00000000">
            <w:pPr>
              <w:spacing w:before="60" w:after="60"/>
            </w:pPr>
            <w:r>
              <w:rPr>
                <w:rFonts w:ascii="Calibri" w:eastAsia="Calibri" w:hAnsi="Calibri" w:cs="Calibri"/>
                <w:color w:val="000000"/>
                <w:sz w:val="19"/>
                <w:szCs w:val="19"/>
              </w:rPr>
              <w:t>Observations</w:t>
            </w:r>
          </w:p>
        </w:tc>
        <w:tc>
          <w:tcPr>
            <w:tcW w:w="2200" w:type="dxa"/>
            <w:shd w:val="clear" w:color="auto" w:fill="F2F2F2"/>
            <w:vAlign w:val="center"/>
          </w:tcPr>
          <w:p w14:paraId="48B23109" w14:textId="77777777" w:rsidR="007E00E9" w:rsidRDefault="00000000">
            <w:pPr>
              <w:spacing w:before="60" w:after="60"/>
              <w:jc w:val="center"/>
            </w:pPr>
            <w:r>
              <w:rPr>
                <w:rFonts w:ascii="Calibri" w:eastAsia="Calibri" w:hAnsi="Calibri" w:cs="Calibri"/>
                <w:color w:val="000000"/>
                <w:sz w:val="19"/>
                <w:szCs w:val="19"/>
              </w:rPr>
              <w:t>3,487</w:t>
            </w:r>
          </w:p>
        </w:tc>
        <w:tc>
          <w:tcPr>
            <w:tcW w:w="2200" w:type="dxa"/>
            <w:shd w:val="clear" w:color="auto" w:fill="F2F2F2"/>
            <w:vAlign w:val="center"/>
          </w:tcPr>
          <w:p w14:paraId="77101409" w14:textId="77777777" w:rsidR="007E00E9" w:rsidRDefault="00000000">
            <w:pPr>
              <w:spacing w:before="60" w:after="60"/>
              <w:jc w:val="center"/>
            </w:pPr>
            <w:r>
              <w:rPr>
                <w:rFonts w:ascii="Calibri" w:eastAsia="Calibri" w:hAnsi="Calibri" w:cs="Calibri"/>
                <w:color w:val="000000"/>
                <w:sz w:val="19"/>
                <w:szCs w:val="19"/>
              </w:rPr>
              <w:t>3,487</w:t>
            </w:r>
          </w:p>
        </w:tc>
      </w:tr>
      <w:tr w:rsidR="007E00E9" w14:paraId="408A241D" w14:textId="77777777">
        <w:tblPrEx>
          <w:tblCellMar>
            <w:top w:w="0" w:type="dxa"/>
            <w:bottom w:w="0" w:type="dxa"/>
          </w:tblCellMar>
        </w:tblPrEx>
        <w:tc>
          <w:tcPr>
            <w:tcW w:w="2800" w:type="dxa"/>
            <w:shd w:val="clear" w:color="auto" w:fill="FFFFFF"/>
            <w:vAlign w:val="center"/>
          </w:tcPr>
          <w:p w14:paraId="578755C6" w14:textId="77777777" w:rsidR="007E00E9" w:rsidRDefault="00000000">
            <w:pPr>
              <w:spacing w:before="60" w:after="60"/>
            </w:pPr>
            <w:r>
              <w:rPr>
                <w:rFonts w:ascii="Calibri" w:eastAsia="Calibri" w:hAnsi="Calibri" w:cs="Calibri"/>
                <w:color w:val="000000"/>
                <w:sz w:val="19"/>
                <w:szCs w:val="19"/>
              </w:rPr>
              <w:t>Mean (%)</w:t>
            </w:r>
          </w:p>
        </w:tc>
        <w:tc>
          <w:tcPr>
            <w:tcW w:w="2200" w:type="dxa"/>
            <w:shd w:val="clear" w:color="auto" w:fill="FFFFFF"/>
            <w:vAlign w:val="center"/>
          </w:tcPr>
          <w:p w14:paraId="7DF27214" w14:textId="77777777" w:rsidR="007E00E9" w:rsidRDefault="00000000">
            <w:pPr>
              <w:spacing w:before="60" w:after="60"/>
              <w:jc w:val="center"/>
            </w:pPr>
            <w:r>
              <w:rPr>
                <w:rFonts w:ascii="Calibri" w:eastAsia="Calibri" w:hAnsi="Calibri" w:cs="Calibri"/>
                <w:color w:val="000000"/>
                <w:sz w:val="19"/>
                <w:szCs w:val="19"/>
              </w:rPr>
              <w:t>0.0607</w:t>
            </w:r>
          </w:p>
        </w:tc>
        <w:tc>
          <w:tcPr>
            <w:tcW w:w="2200" w:type="dxa"/>
            <w:shd w:val="clear" w:color="auto" w:fill="FFFFFF"/>
            <w:vAlign w:val="center"/>
          </w:tcPr>
          <w:p w14:paraId="590F71B5" w14:textId="77777777" w:rsidR="007E00E9" w:rsidRDefault="00000000">
            <w:pPr>
              <w:spacing w:before="60" w:after="60"/>
              <w:jc w:val="center"/>
            </w:pPr>
            <w:r>
              <w:rPr>
                <w:rFonts w:ascii="Calibri" w:eastAsia="Calibri" w:hAnsi="Calibri" w:cs="Calibri"/>
                <w:color w:val="000000"/>
                <w:sz w:val="19"/>
                <w:szCs w:val="19"/>
              </w:rPr>
              <w:t>0.0222</w:t>
            </w:r>
          </w:p>
        </w:tc>
      </w:tr>
      <w:tr w:rsidR="007E00E9" w14:paraId="6C36502C" w14:textId="77777777">
        <w:tblPrEx>
          <w:tblCellMar>
            <w:top w:w="0" w:type="dxa"/>
            <w:bottom w:w="0" w:type="dxa"/>
          </w:tblCellMar>
        </w:tblPrEx>
        <w:tc>
          <w:tcPr>
            <w:tcW w:w="2800" w:type="dxa"/>
            <w:shd w:val="clear" w:color="auto" w:fill="F2F2F2"/>
            <w:vAlign w:val="center"/>
          </w:tcPr>
          <w:p w14:paraId="0E9853F1" w14:textId="77777777" w:rsidR="007E00E9" w:rsidRDefault="00000000">
            <w:pPr>
              <w:spacing w:before="60" w:after="60"/>
            </w:pPr>
            <w:r>
              <w:rPr>
                <w:rFonts w:ascii="Calibri" w:eastAsia="Calibri" w:hAnsi="Calibri" w:cs="Calibri"/>
                <w:color w:val="000000"/>
                <w:sz w:val="19"/>
                <w:szCs w:val="19"/>
              </w:rPr>
              <w:t>Std Dev (%)</w:t>
            </w:r>
          </w:p>
        </w:tc>
        <w:tc>
          <w:tcPr>
            <w:tcW w:w="2200" w:type="dxa"/>
            <w:shd w:val="clear" w:color="auto" w:fill="F2F2F2"/>
            <w:vAlign w:val="center"/>
          </w:tcPr>
          <w:p w14:paraId="04D8EB25" w14:textId="77777777" w:rsidR="007E00E9" w:rsidRDefault="00000000">
            <w:pPr>
              <w:spacing w:before="60" w:after="60"/>
              <w:jc w:val="center"/>
            </w:pPr>
            <w:r>
              <w:rPr>
                <w:rFonts w:ascii="Calibri" w:eastAsia="Calibri" w:hAnsi="Calibri" w:cs="Calibri"/>
                <w:color w:val="000000"/>
                <w:sz w:val="19"/>
                <w:szCs w:val="19"/>
              </w:rPr>
              <w:t>1.0449</w:t>
            </w:r>
          </w:p>
        </w:tc>
        <w:tc>
          <w:tcPr>
            <w:tcW w:w="2200" w:type="dxa"/>
            <w:shd w:val="clear" w:color="auto" w:fill="F2F2F2"/>
            <w:vAlign w:val="center"/>
          </w:tcPr>
          <w:p w14:paraId="10C18C76" w14:textId="77777777" w:rsidR="007E00E9" w:rsidRDefault="00000000">
            <w:pPr>
              <w:spacing w:before="60" w:after="60"/>
              <w:jc w:val="center"/>
            </w:pPr>
            <w:r>
              <w:rPr>
                <w:rFonts w:ascii="Calibri" w:eastAsia="Calibri" w:hAnsi="Calibri" w:cs="Calibri"/>
                <w:color w:val="000000"/>
                <w:sz w:val="19"/>
                <w:szCs w:val="19"/>
              </w:rPr>
              <w:t>1.0416</w:t>
            </w:r>
          </w:p>
        </w:tc>
      </w:tr>
      <w:tr w:rsidR="007E00E9" w14:paraId="2C3DB63C" w14:textId="77777777">
        <w:tblPrEx>
          <w:tblCellMar>
            <w:top w:w="0" w:type="dxa"/>
            <w:bottom w:w="0" w:type="dxa"/>
          </w:tblCellMar>
        </w:tblPrEx>
        <w:tc>
          <w:tcPr>
            <w:tcW w:w="2800" w:type="dxa"/>
            <w:shd w:val="clear" w:color="auto" w:fill="FFFFFF"/>
            <w:vAlign w:val="center"/>
          </w:tcPr>
          <w:p w14:paraId="7AAEA8DC" w14:textId="77777777" w:rsidR="007E00E9" w:rsidRDefault="00000000">
            <w:pPr>
              <w:spacing w:before="60" w:after="60"/>
            </w:pPr>
            <w:r>
              <w:rPr>
                <w:rFonts w:ascii="Calibri" w:eastAsia="Calibri" w:hAnsi="Calibri" w:cs="Calibri"/>
                <w:color w:val="000000"/>
                <w:sz w:val="19"/>
                <w:szCs w:val="19"/>
              </w:rPr>
              <w:t>Minimum (%)</w:t>
            </w:r>
          </w:p>
        </w:tc>
        <w:tc>
          <w:tcPr>
            <w:tcW w:w="2200" w:type="dxa"/>
            <w:shd w:val="clear" w:color="auto" w:fill="FFFFFF"/>
            <w:vAlign w:val="center"/>
          </w:tcPr>
          <w:p w14:paraId="1990E9F3" w14:textId="77777777" w:rsidR="007E00E9" w:rsidRDefault="00000000">
            <w:pPr>
              <w:spacing w:before="60" w:after="60"/>
              <w:jc w:val="center"/>
            </w:pPr>
            <w:r>
              <w:rPr>
                <w:rFonts w:ascii="Calibri" w:eastAsia="Calibri" w:hAnsi="Calibri" w:cs="Calibri"/>
                <w:color w:val="000000"/>
                <w:sz w:val="19"/>
                <w:szCs w:val="19"/>
              </w:rPr>
              <w:t>−7.1024</w:t>
            </w:r>
          </w:p>
        </w:tc>
        <w:tc>
          <w:tcPr>
            <w:tcW w:w="2200" w:type="dxa"/>
            <w:shd w:val="clear" w:color="auto" w:fill="FFFFFF"/>
            <w:vAlign w:val="center"/>
          </w:tcPr>
          <w:p w14:paraId="676BC3A6" w14:textId="77777777" w:rsidR="007E00E9" w:rsidRDefault="00000000">
            <w:pPr>
              <w:spacing w:before="60" w:after="60"/>
              <w:jc w:val="center"/>
            </w:pPr>
            <w:r>
              <w:rPr>
                <w:rFonts w:ascii="Calibri" w:eastAsia="Calibri" w:hAnsi="Calibri" w:cs="Calibri"/>
                <w:color w:val="000000"/>
                <w:sz w:val="19"/>
                <w:szCs w:val="19"/>
              </w:rPr>
              <w:t>−9.8206</w:t>
            </w:r>
          </w:p>
        </w:tc>
      </w:tr>
      <w:tr w:rsidR="007E00E9" w14:paraId="041E2090" w14:textId="77777777">
        <w:tblPrEx>
          <w:tblCellMar>
            <w:top w:w="0" w:type="dxa"/>
            <w:bottom w:w="0" w:type="dxa"/>
          </w:tblCellMar>
        </w:tblPrEx>
        <w:tc>
          <w:tcPr>
            <w:tcW w:w="2800" w:type="dxa"/>
            <w:shd w:val="clear" w:color="auto" w:fill="F2F2F2"/>
            <w:vAlign w:val="center"/>
          </w:tcPr>
          <w:p w14:paraId="5684EA19" w14:textId="77777777" w:rsidR="007E00E9" w:rsidRDefault="00000000">
            <w:pPr>
              <w:spacing w:before="60" w:after="60"/>
            </w:pPr>
            <w:r>
              <w:rPr>
                <w:rFonts w:ascii="Calibri" w:eastAsia="Calibri" w:hAnsi="Calibri" w:cs="Calibri"/>
                <w:color w:val="000000"/>
                <w:sz w:val="19"/>
                <w:szCs w:val="19"/>
              </w:rPr>
              <w:t>Maximum (%)</w:t>
            </w:r>
          </w:p>
        </w:tc>
        <w:tc>
          <w:tcPr>
            <w:tcW w:w="2200" w:type="dxa"/>
            <w:shd w:val="clear" w:color="auto" w:fill="F2F2F2"/>
            <w:vAlign w:val="center"/>
          </w:tcPr>
          <w:p w14:paraId="441593CE" w14:textId="77777777" w:rsidR="007E00E9" w:rsidRDefault="00000000">
            <w:pPr>
              <w:spacing w:before="60" w:after="60"/>
              <w:jc w:val="center"/>
            </w:pPr>
            <w:r>
              <w:rPr>
                <w:rFonts w:ascii="Calibri" w:eastAsia="Calibri" w:hAnsi="Calibri" w:cs="Calibri"/>
                <w:color w:val="000000"/>
                <w:sz w:val="19"/>
                <w:szCs w:val="19"/>
              </w:rPr>
              <w:t>5.7339</w:t>
            </w:r>
          </w:p>
        </w:tc>
        <w:tc>
          <w:tcPr>
            <w:tcW w:w="2200" w:type="dxa"/>
            <w:shd w:val="clear" w:color="auto" w:fill="F2F2F2"/>
            <w:vAlign w:val="center"/>
          </w:tcPr>
          <w:p w14:paraId="0AD40DB2" w14:textId="77777777" w:rsidR="007E00E9" w:rsidRDefault="00000000">
            <w:pPr>
              <w:spacing w:before="60" w:after="60"/>
              <w:jc w:val="center"/>
            </w:pPr>
            <w:r>
              <w:rPr>
                <w:rFonts w:ascii="Calibri" w:eastAsia="Calibri" w:hAnsi="Calibri" w:cs="Calibri"/>
                <w:color w:val="000000"/>
                <w:sz w:val="19"/>
                <w:szCs w:val="19"/>
              </w:rPr>
              <w:t>11.2197</w:t>
            </w:r>
          </w:p>
        </w:tc>
      </w:tr>
      <w:tr w:rsidR="007E00E9" w14:paraId="3FB79A9F" w14:textId="77777777">
        <w:tblPrEx>
          <w:tblCellMar>
            <w:top w:w="0" w:type="dxa"/>
            <w:bottom w:w="0" w:type="dxa"/>
          </w:tblCellMar>
        </w:tblPrEx>
        <w:tc>
          <w:tcPr>
            <w:tcW w:w="2800" w:type="dxa"/>
            <w:shd w:val="clear" w:color="auto" w:fill="FFFFFF"/>
            <w:vAlign w:val="center"/>
          </w:tcPr>
          <w:p w14:paraId="12D3DEF3" w14:textId="77777777" w:rsidR="007E00E9" w:rsidRDefault="00000000">
            <w:pPr>
              <w:spacing w:before="60" w:after="60"/>
            </w:pPr>
            <w:r>
              <w:rPr>
                <w:rFonts w:ascii="Calibri" w:eastAsia="Calibri" w:hAnsi="Calibri" w:cs="Calibri"/>
                <w:color w:val="000000"/>
                <w:sz w:val="19"/>
                <w:szCs w:val="19"/>
              </w:rPr>
              <w:t>Skewness</w:t>
            </w:r>
          </w:p>
        </w:tc>
        <w:tc>
          <w:tcPr>
            <w:tcW w:w="2200" w:type="dxa"/>
            <w:shd w:val="clear" w:color="auto" w:fill="FFFFFF"/>
            <w:vAlign w:val="center"/>
          </w:tcPr>
          <w:p w14:paraId="651CD150" w14:textId="77777777" w:rsidR="007E00E9" w:rsidRDefault="00000000">
            <w:pPr>
              <w:spacing w:before="60" w:after="60"/>
              <w:jc w:val="center"/>
            </w:pPr>
            <w:r>
              <w:rPr>
                <w:rFonts w:ascii="Calibri" w:eastAsia="Calibri" w:hAnsi="Calibri" w:cs="Calibri"/>
                <w:color w:val="000000"/>
                <w:sz w:val="19"/>
                <w:szCs w:val="19"/>
              </w:rPr>
              <w:t>−0.4755</w:t>
            </w:r>
          </w:p>
        </w:tc>
        <w:tc>
          <w:tcPr>
            <w:tcW w:w="2200" w:type="dxa"/>
            <w:shd w:val="clear" w:color="auto" w:fill="FFFFFF"/>
            <w:vAlign w:val="center"/>
          </w:tcPr>
          <w:p w14:paraId="1D96DD61" w14:textId="77777777" w:rsidR="007E00E9" w:rsidRDefault="00000000">
            <w:pPr>
              <w:spacing w:before="60" w:after="60"/>
              <w:jc w:val="center"/>
            </w:pPr>
            <w:r>
              <w:rPr>
                <w:rFonts w:ascii="Calibri" w:eastAsia="Calibri" w:hAnsi="Calibri" w:cs="Calibri"/>
                <w:color w:val="000000"/>
                <w:sz w:val="19"/>
                <w:szCs w:val="19"/>
              </w:rPr>
              <w:t>−0.2645</w:t>
            </w:r>
          </w:p>
        </w:tc>
      </w:tr>
      <w:tr w:rsidR="007E00E9" w14:paraId="6F9FE90D" w14:textId="77777777">
        <w:tblPrEx>
          <w:tblCellMar>
            <w:top w:w="0" w:type="dxa"/>
            <w:bottom w:w="0" w:type="dxa"/>
          </w:tblCellMar>
        </w:tblPrEx>
        <w:tc>
          <w:tcPr>
            <w:tcW w:w="2800" w:type="dxa"/>
            <w:shd w:val="clear" w:color="auto" w:fill="F2F2F2"/>
            <w:vAlign w:val="center"/>
          </w:tcPr>
          <w:p w14:paraId="01B38B13" w14:textId="77777777" w:rsidR="007E00E9" w:rsidRDefault="00000000">
            <w:pPr>
              <w:spacing w:before="60" w:after="60"/>
            </w:pPr>
            <w:r>
              <w:rPr>
                <w:rFonts w:ascii="Calibri" w:eastAsia="Calibri" w:hAnsi="Calibri" w:cs="Calibri"/>
                <w:color w:val="000000"/>
                <w:sz w:val="19"/>
                <w:szCs w:val="19"/>
              </w:rPr>
              <w:t>Excess Kurtosis</w:t>
            </w:r>
          </w:p>
        </w:tc>
        <w:tc>
          <w:tcPr>
            <w:tcW w:w="2200" w:type="dxa"/>
            <w:shd w:val="clear" w:color="auto" w:fill="F2F2F2"/>
            <w:vAlign w:val="center"/>
          </w:tcPr>
          <w:p w14:paraId="5FEB0C0D" w14:textId="77777777" w:rsidR="007E00E9" w:rsidRDefault="00000000">
            <w:pPr>
              <w:spacing w:before="60" w:after="60"/>
              <w:jc w:val="center"/>
            </w:pPr>
            <w:r>
              <w:rPr>
                <w:rFonts w:ascii="Calibri" w:eastAsia="Calibri" w:hAnsi="Calibri" w:cs="Calibri"/>
                <w:color w:val="000000"/>
                <w:sz w:val="19"/>
                <w:szCs w:val="19"/>
              </w:rPr>
              <w:t>3.9849</w:t>
            </w:r>
          </w:p>
        </w:tc>
        <w:tc>
          <w:tcPr>
            <w:tcW w:w="2200" w:type="dxa"/>
            <w:shd w:val="clear" w:color="auto" w:fill="F2F2F2"/>
            <w:vAlign w:val="center"/>
          </w:tcPr>
          <w:p w14:paraId="573A38BF" w14:textId="77777777" w:rsidR="007E00E9" w:rsidRDefault="00000000">
            <w:pPr>
              <w:spacing w:before="60" w:after="60"/>
              <w:jc w:val="center"/>
            </w:pPr>
            <w:r>
              <w:rPr>
                <w:rFonts w:ascii="Calibri" w:eastAsia="Calibri" w:hAnsi="Calibri" w:cs="Calibri"/>
                <w:color w:val="000000"/>
                <w:sz w:val="19"/>
                <w:szCs w:val="19"/>
              </w:rPr>
              <w:t>8.8652</w:t>
            </w:r>
          </w:p>
        </w:tc>
      </w:tr>
      <w:tr w:rsidR="007E00E9" w14:paraId="7F07FC63" w14:textId="77777777">
        <w:tblPrEx>
          <w:tblCellMar>
            <w:top w:w="0" w:type="dxa"/>
            <w:bottom w:w="0" w:type="dxa"/>
          </w:tblCellMar>
        </w:tblPrEx>
        <w:tc>
          <w:tcPr>
            <w:tcW w:w="2800" w:type="dxa"/>
            <w:shd w:val="clear" w:color="auto" w:fill="FFFFFF"/>
            <w:vAlign w:val="center"/>
          </w:tcPr>
          <w:p w14:paraId="64BC869D" w14:textId="77777777" w:rsidR="007E00E9" w:rsidRDefault="00000000">
            <w:pPr>
              <w:spacing w:before="60" w:after="60"/>
            </w:pPr>
            <w:r>
              <w:rPr>
                <w:rFonts w:ascii="Calibri" w:eastAsia="Calibri" w:hAnsi="Calibri" w:cs="Calibri"/>
                <w:color w:val="000000"/>
                <w:sz w:val="19"/>
                <w:szCs w:val="19"/>
              </w:rPr>
              <w:t>Jarque-Bera Statistic</w:t>
            </w:r>
          </w:p>
        </w:tc>
        <w:tc>
          <w:tcPr>
            <w:tcW w:w="2200" w:type="dxa"/>
            <w:shd w:val="clear" w:color="auto" w:fill="FFFFFF"/>
            <w:vAlign w:val="center"/>
          </w:tcPr>
          <w:p w14:paraId="2F852EA5" w14:textId="77777777" w:rsidR="007E00E9" w:rsidRDefault="00000000">
            <w:pPr>
              <w:spacing w:before="60" w:after="60"/>
              <w:jc w:val="center"/>
            </w:pPr>
            <w:r>
              <w:rPr>
                <w:rFonts w:ascii="Calibri" w:eastAsia="Calibri" w:hAnsi="Calibri" w:cs="Calibri"/>
                <w:color w:val="000000"/>
                <w:sz w:val="19"/>
                <w:szCs w:val="19"/>
              </w:rPr>
              <w:t>2,438.57</w:t>
            </w:r>
          </w:p>
        </w:tc>
        <w:tc>
          <w:tcPr>
            <w:tcW w:w="2200" w:type="dxa"/>
            <w:shd w:val="clear" w:color="auto" w:fill="FFFFFF"/>
            <w:vAlign w:val="center"/>
          </w:tcPr>
          <w:p w14:paraId="235B4237" w14:textId="77777777" w:rsidR="007E00E9" w:rsidRDefault="00000000">
            <w:pPr>
              <w:spacing w:before="60" w:after="60"/>
              <w:jc w:val="center"/>
            </w:pPr>
            <w:r>
              <w:rPr>
                <w:rFonts w:ascii="Calibri" w:eastAsia="Calibri" w:hAnsi="Calibri" w:cs="Calibri"/>
                <w:color w:val="000000"/>
                <w:sz w:val="19"/>
                <w:szCs w:val="19"/>
              </w:rPr>
              <w:t>11,459.46</w:t>
            </w:r>
          </w:p>
        </w:tc>
      </w:tr>
      <w:tr w:rsidR="007E00E9" w14:paraId="00A89D7C" w14:textId="77777777">
        <w:tblPrEx>
          <w:tblCellMar>
            <w:top w:w="0" w:type="dxa"/>
            <w:bottom w:w="0" w:type="dxa"/>
          </w:tblCellMar>
        </w:tblPrEx>
        <w:tc>
          <w:tcPr>
            <w:tcW w:w="2800" w:type="dxa"/>
            <w:shd w:val="clear" w:color="auto" w:fill="F2F2F2"/>
            <w:vAlign w:val="center"/>
          </w:tcPr>
          <w:p w14:paraId="706A5BF2" w14:textId="77777777" w:rsidR="007E00E9" w:rsidRDefault="00000000">
            <w:pPr>
              <w:spacing w:before="60" w:after="60"/>
            </w:pPr>
            <w:r>
              <w:rPr>
                <w:rFonts w:ascii="Calibri" w:eastAsia="Calibri" w:hAnsi="Calibri" w:cs="Calibri"/>
                <w:color w:val="000000"/>
                <w:sz w:val="19"/>
                <w:szCs w:val="19"/>
              </w:rPr>
              <w:t>Jarque-Bera p-value</w:t>
            </w:r>
          </w:p>
        </w:tc>
        <w:tc>
          <w:tcPr>
            <w:tcW w:w="2200" w:type="dxa"/>
            <w:shd w:val="clear" w:color="auto" w:fill="F2F2F2"/>
            <w:vAlign w:val="center"/>
          </w:tcPr>
          <w:p w14:paraId="3B564807" w14:textId="77777777" w:rsidR="007E00E9" w:rsidRDefault="00000000">
            <w:pPr>
              <w:spacing w:before="60" w:after="60"/>
              <w:jc w:val="center"/>
            </w:pPr>
            <w:r>
              <w:rPr>
                <w:rFonts w:ascii="Calibri" w:eastAsia="Calibri" w:hAnsi="Calibri" w:cs="Calibri"/>
                <w:color w:val="000000"/>
                <w:sz w:val="19"/>
                <w:szCs w:val="19"/>
              </w:rPr>
              <w:t>&lt; 0.0001</w:t>
            </w:r>
          </w:p>
        </w:tc>
        <w:tc>
          <w:tcPr>
            <w:tcW w:w="2200" w:type="dxa"/>
            <w:shd w:val="clear" w:color="auto" w:fill="F2F2F2"/>
            <w:vAlign w:val="center"/>
          </w:tcPr>
          <w:p w14:paraId="78160AC8" w14:textId="77777777" w:rsidR="007E00E9" w:rsidRDefault="00000000">
            <w:pPr>
              <w:spacing w:before="60" w:after="60"/>
              <w:jc w:val="center"/>
            </w:pPr>
            <w:r>
              <w:rPr>
                <w:rFonts w:ascii="Calibri" w:eastAsia="Calibri" w:hAnsi="Calibri" w:cs="Calibri"/>
                <w:color w:val="000000"/>
                <w:sz w:val="19"/>
                <w:szCs w:val="19"/>
              </w:rPr>
              <w:t>&lt; 0.0001</w:t>
            </w:r>
          </w:p>
        </w:tc>
      </w:tr>
    </w:tbl>
    <w:p w14:paraId="5FAE5737" w14:textId="77777777" w:rsidR="007E00E9" w:rsidRDefault="00000000">
      <w:pPr>
        <w:spacing w:before="40" w:after="160"/>
        <w:jc w:val="center"/>
      </w:pPr>
      <w:r>
        <w:rPr>
          <w:rFonts w:ascii="Calibri" w:eastAsia="Calibri" w:hAnsi="Calibri" w:cs="Calibri"/>
          <w:i/>
          <w:iCs/>
          <w:color w:val="4A4A6A"/>
          <w:sz w:val="18"/>
          <w:szCs w:val="18"/>
        </w:rPr>
        <w:t>Table 1: Descriptive Statistics and Jarque-Bera Normality Tests</w:t>
      </w:r>
    </w:p>
    <w:p w14:paraId="3E54C986" w14:textId="77777777" w:rsidR="007E00E9" w:rsidRDefault="00000000">
      <w:pPr>
        <w:spacing w:after="100"/>
        <w:jc w:val="both"/>
      </w:pPr>
      <w:r>
        <w:rPr>
          <w:rFonts w:ascii="Calibri" w:eastAsia="Calibri" w:hAnsi="Calibri" w:cs="Calibri"/>
          <w:color w:val="000000"/>
          <w:sz w:val="22"/>
          <w:szCs w:val="22"/>
        </w:rPr>
        <w:t>Both series are negatively skewed, indicating that large negative returns are more extreme than large positive returns — consistent with the general finding that equity and commodity markets crash faster than they rally. Excess kurtosis is strongly positive for both assets: 3.98 for KSE-100 and 8.87 for COMEX Gold. These values substantially exceed the normal distribution's excess kurtosis of zero, confirming the presence of fat tails — extreme events occur far more frequently than the normal distribution would predict.</w:t>
      </w:r>
    </w:p>
    <w:p w14:paraId="55C3F83D" w14:textId="77777777" w:rsidR="007E00E9" w:rsidRDefault="00000000">
      <w:pPr>
        <w:spacing w:after="100"/>
        <w:jc w:val="both"/>
      </w:pPr>
      <w:r>
        <w:rPr>
          <w:rFonts w:ascii="Calibri" w:eastAsia="Calibri" w:hAnsi="Calibri" w:cs="Calibri"/>
          <w:color w:val="000000"/>
          <w:sz w:val="22"/>
          <w:szCs w:val="22"/>
        </w:rPr>
        <w:t>The Jarque-Bera test decisively rejects normality for both series (p &lt; 0.0001). Gold's kurtosis of 8.87 — more than double KSE-100's 3.98 — reflects the asset's susceptibility to sudden safe-haven demand shocks and the April 2013 flash crash. This empirical fact has direct methodological implications: any VaR model that assumes normality will systematically underestimate tail risk, particularly at high confidence levels.</w:t>
      </w:r>
    </w:p>
    <w:p w14:paraId="5A171ED7" w14:textId="77777777" w:rsidR="007E00E9" w:rsidRDefault="00000000">
      <w:pPr>
        <w:spacing w:before="80" w:after="40"/>
        <w:jc w:val="center"/>
      </w:pPr>
      <w:r>
        <w:rPr>
          <w:noProof/>
        </w:rPr>
        <w:drawing>
          <wp:inline distT="0" distB="0" distL="0" distR="0" wp14:anchorId="1776DA5A" wp14:editId="45A36BC3">
            <wp:extent cx="3810000" cy="2381250"/>
            <wp:effectExtent l="0" t="0" r="0" b="0"/>
            <wp:docPr id="834147253" name="Picture 834147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2381250"/>
                    </a:xfrm>
                    <a:prstGeom prst="rect">
                      <a:avLst/>
                    </a:prstGeom>
                  </pic:spPr>
                </pic:pic>
              </a:graphicData>
            </a:graphic>
          </wp:inline>
        </w:drawing>
      </w:r>
    </w:p>
    <w:p w14:paraId="44070069" w14:textId="77777777" w:rsidR="007E00E9" w:rsidRDefault="00000000">
      <w:pPr>
        <w:spacing w:before="40" w:after="160"/>
        <w:jc w:val="center"/>
      </w:pPr>
      <w:r>
        <w:rPr>
          <w:rFonts w:ascii="Calibri" w:eastAsia="Calibri" w:hAnsi="Calibri" w:cs="Calibri"/>
          <w:i/>
          <w:iCs/>
          <w:color w:val="4A4A6A"/>
          <w:sz w:val="18"/>
          <w:szCs w:val="18"/>
        </w:rPr>
        <w:t>Figure 3: KSE-100 Return Distribution vs Normal (red dashed)</w:t>
      </w:r>
    </w:p>
    <w:p w14:paraId="5BA7A1F9" w14:textId="77777777" w:rsidR="007E00E9" w:rsidRDefault="00000000">
      <w:pPr>
        <w:spacing w:before="80" w:after="40"/>
        <w:jc w:val="center"/>
      </w:pPr>
      <w:r>
        <w:rPr>
          <w:noProof/>
        </w:rPr>
        <w:lastRenderedPageBreak/>
        <w:drawing>
          <wp:inline distT="0" distB="0" distL="0" distR="0" wp14:anchorId="2969F31B" wp14:editId="60A00F6D">
            <wp:extent cx="3810000" cy="2381250"/>
            <wp:effectExtent l="0" t="0" r="0" b="0"/>
            <wp:docPr id="1455615709" name="Picture 1455615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2381250"/>
                    </a:xfrm>
                    <a:prstGeom prst="rect">
                      <a:avLst/>
                    </a:prstGeom>
                  </pic:spPr>
                </pic:pic>
              </a:graphicData>
            </a:graphic>
          </wp:inline>
        </w:drawing>
      </w:r>
    </w:p>
    <w:p w14:paraId="48FDA187" w14:textId="77777777" w:rsidR="007E00E9" w:rsidRDefault="00000000">
      <w:pPr>
        <w:spacing w:before="40" w:after="160"/>
        <w:jc w:val="center"/>
      </w:pPr>
      <w:r>
        <w:rPr>
          <w:rFonts w:ascii="Calibri" w:eastAsia="Calibri" w:hAnsi="Calibri" w:cs="Calibri"/>
          <w:i/>
          <w:iCs/>
          <w:color w:val="4A4A6A"/>
          <w:sz w:val="18"/>
          <w:szCs w:val="18"/>
        </w:rPr>
        <w:t>Figure 4: COMEX Gold Return Distribution vs Normal (red dashed)</w:t>
      </w:r>
    </w:p>
    <w:p w14:paraId="452A8A3D" w14:textId="77777777" w:rsidR="007E00E9" w:rsidRDefault="00000000">
      <w:pPr>
        <w:spacing w:after="100"/>
        <w:jc w:val="both"/>
      </w:pPr>
      <w:r>
        <w:rPr>
          <w:rFonts w:ascii="Calibri" w:eastAsia="Calibri" w:hAnsi="Calibri" w:cs="Calibri"/>
          <w:color w:val="000000"/>
          <w:sz w:val="22"/>
          <w:szCs w:val="22"/>
        </w:rPr>
        <w:t>Figures 3 and 4 display the empirical return distributions overlaid with fitted normal curves. The visual evidence is striking: the empirical histograms are taller and narrower at the centre than the normal curve (leptokurtosis), and exhibit heavier tails — the histogram bars extend well beyond the range where the normal curve has effectively reached zero. This visual evidence complements the Jarque-Bera test results and directly motivates the use of non-parametric and semi-parametric VaR methods.</w:t>
      </w:r>
    </w:p>
    <w:p w14:paraId="0C0629F8" w14:textId="77777777" w:rsidR="007E00E9" w:rsidRDefault="00000000">
      <w:r>
        <w:br w:type="page"/>
      </w:r>
    </w:p>
    <w:p w14:paraId="6384C078" w14:textId="77777777" w:rsidR="007E00E9" w:rsidRDefault="00000000">
      <w:pPr>
        <w:pStyle w:val="Heading1"/>
        <w:pBdr>
          <w:bottom w:val="single" w:sz="6" w:space="0" w:color="2C7BB6"/>
        </w:pBdr>
      </w:pPr>
      <w:r>
        <w:lastRenderedPageBreak/>
        <w:t>4. GARCH(1,1) Estimation</w:t>
      </w:r>
    </w:p>
    <w:p w14:paraId="76D8B054" w14:textId="77777777" w:rsidR="007E00E9" w:rsidRDefault="00000000">
      <w:pPr>
        <w:pStyle w:val="Heading2"/>
        <w:spacing w:before="280"/>
      </w:pPr>
      <w:r>
        <w:t>4.1 Model Specification and Rationale</w:t>
      </w:r>
    </w:p>
    <w:p w14:paraId="71F18691" w14:textId="77777777" w:rsidR="007E00E9" w:rsidRDefault="00000000">
      <w:pPr>
        <w:spacing w:after="100"/>
        <w:jc w:val="both"/>
      </w:pPr>
      <w:r>
        <w:rPr>
          <w:rFonts w:ascii="Calibri" w:eastAsia="Calibri" w:hAnsi="Calibri" w:cs="Calibri"/>
          <w:color w:val="000000"/>
          <w:sz w:val="22"/>
          <w:szCs w:val="22"/>
        </w:rPr>
        <w:t>The return series plots (Figures 1 and 2) clearly exhibit volatility clustering — large returns (positive or negative) tend to be followed by further large returns, and calm periods cluster similarly. This violates the constant-variance assumption underlying both HS and the Parametric method and motivates the use of a GARCH model to capture time-varying volatility dynamics.</w:t>
      </w:r>
    </w:p>
    <w:p w14:paraId="59C452D9" w14:textId="77777777" w:rsidR="007E00E9" w:rsidRDefault="00000000">
      <w:pPr>
        <w:spacing w:after="100"/>
        <w:jc w:val="both"/>
      </w:pPr>
      <w:r>
        <w:rPr>
          <w:rFonts w:ascii="Calibri" w:eastAsia="Calibri" w:hAnsi="Calibri" w:cs="Calibri"/>
          <w:color w:val="000000"/>
          <w:sz w:val="22"/>
          <w:szCs w:val="22"/>
        </w:rPr>
        <w:t>A GARCH(1,1) model is specified for each asset with a constant mean (ARFIMA(0,0,0)) and normal innovation distribution. The GARCH(1,1) specification is the standard parsimonious choice for daily financial returns and is sufficient to capture the autocorrelation structure in squared returns identified in the data.</w:t>
      </w:r>
    </w:p>
    <w:p w14:paraId="5BAB3781" w14:textId="77777777" w:rsidR="007E00E9" w:rsidRDefault="00000000">
      <w:pPr>
        <w:pStyle w:val="Heading2"/>
        <w:spacing w:before="280"/>
      </w:pPr>
      <w:r>
        <w:t>4.2 Estimated Coefficients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2000"/>
        <w:gridCol w:w="2000"/>
        <w:gridCol w:w="2000"/>
      </w:tblGrid>
      <w:tr w:rsidR="007E00E9" w14:paraId="3CAEABCA" w14:textId="77777777">
        <w:tblPrEx>
          <w:tblCellMar>
            <w:top w:w="0" w:type="dxa"/>
            <w:bottom w:w="0" w:type="dxa"/>
          </w:tblCellMar>
        </w:tblPrEx>
        <w:tc>
          <w:tcPr>
            <w:tcW w:w="3200" w:type="dxa"/>
            <w:shd w:val="clear" w:color="auto" w:fill="2C7BB6"/>
            <w:vAlign w:val="center"/>
          </w:tcPr>
          <w:p w14:paraId="527D468D" w14:textId="77777777" w:rsidR="007E00E9" w:rsidRDefault="00000000">
            <w:pPr>
              <w:spacing w:before="80" w:after="80"/>
              <w:jc w:val="center"/>
            </w:pPr>
            <w:r>
              <w:rPr>
                <w:rFonts w:ascii="Calibri" w:eastAsia="Calibri" w:hAnsi="Calibri" w:cs="Calibri"/>
                <w:b/>
                <w:bCs/>
                <w:color w:val="FFFFFF"/>
                <w:sz w:val="19"/>
                <w:szCs w:val="19"/>
              </w:rPr>
              <w:t>Parameter</w:t>
            </w:r>
          </w:p>
        </w:tc>
        <w:tc>
          <w:tcPr>
            <w:tcW w:w="2000" w:type="dxa"/>
            <w:shd w:val="clear" w:color="auto" w:fill="2C7BB6"/>
            <w:vAlign w:val="center"/>
          </w:tcPr>
          <w:p w14:paraId="2B085E46" w14:textId="77777777" w:rsidR="007E00E9" w:rsidRDefault="00000000">
            <w:pPr>
              <w:spacing w:before="80" w:after="80"/>
              <w:jc w:val="center"/>
            </w:pPr>
            <w:r>
              <w:rPr>
                <w:rFonts w:ascii="Calibri" w:eastAsia="Calibri" w:hAnsi="Calibri" w:cs="Calibri"/>
                <w:b/>
                <w:bCs/>
                <w:color w:val="FFFFFF"/>
                <w:sz w:val="19"/>
                <w:szCs w:val="19"/>
              </w:rPr>
              <w:t>KSE-100</w:t>
            </w:r>
          </w:p>
        </w:tc>
        <w:tc>
          <w:tcPr>
            <w:tcW w:w="2000" w:type="dxa"/>
            <w:shd w:val="clear" w:color="auto" w:fill="2C7BB6"/>
            <w:vAlign w:val="center"/>
          </w:tcPr>
          <w:p w14:paraId="7B156F1B" w14:textId="77777777" w:rsidR="007E00E9" w:rsidRDefault="00000000">
            <w:pPr>
              <w:spacing w:before="80" w:after="80"/>
              <w:jc w:val="center"/>
            </w:pPr>
            <w:r>
              <w:rPr>
                <w:rFonts w:ascii="Calibri" w:eastAsia="Calibri" w:hAnsi="Calibri" w:cs="Calibri"/>
                <w:b/>
                <w:bCs/>
                <w:color w:val="FFFFFF"/>
                <w:sz w:val="19"/>
                <w:szCs w:val="19"/>
              </w:rPr>
              <w:t>COMEX Gold</w:t>
            </w:r>
          </w:p>
        </w:tc>
        <w:tc>
          <w:tcPr>
            <w:tcW w:w="2000" w:type="dxa"/>
            <w:shd w:val="clear" w:color="auto" w:fill="2C7BB6"/>
            <w:vAlign w:val="center"/>
          </w:tcPr>
          <w:p w14:paraId="00544A2F" w14:textId="77777777" w:rsidR="007E00E9" w:rsidRDefault="00000000">
            <w:pPr>
              <w:spacing w:before="80" w:after="80"/>
              <w:jc w:val="center"/>
            </w:pPr>
            <w:r>
              <w:rPr>
                <w:rFonts w:ascii="Calibri" w:eastAsia="Calibri" w:hAnsi="Calibri" w:cs="Calibri"/>
                <w:b/>
                <w:bCs/>
                <w:color w:val="FFFFFF"/>
                <w:sz w:val="19"/>
                <w:szCs w:val="19"/>
              </w:rPr>
              <w:t>Interpretation</w:t>
            </w:r>
          </w:p>
        </w:tc>
      </w:tr>
      <w:tr w:rsidR="007E00E9" w14:paraId="1AEB7E71" w14:textId="77777777">
        <w:tblPrEx>
          <w:tblCellMar>
            <w:top w:w="0" w:type="dxa"/>
            <w:bottom w:w="0" w:type="dxa"/>
          </w:tblCellMar>
        </w:tblPrEx>
        <w:tc>
          <w:tcPr>
            <w:tcW w:w="3200" w:type="dxa"/>
            <w:shd w:val="clear" w:color="auto" w:fill="F2F2F2"/>
            <w:vAlign w:val="center"/>
          </w:tcPr>
          <w:p w14:paraId="14013F80" w14:textId="77777777" w:rsidR="007E00E9" w:rsidRDefault="00000000">
            <w:pPr>
              <w:spacing w:before="60" w:after="60"/>
            </w:pPr>
            <w:r>
              <w:rPr>
                <w:rFonts w:ascii="Calibri" w:eastAsia="Calibri" w:hAnsi="Calibri" w:cs="Calibri"/>
                <w:color w:val="000000"/>
                <w:sz w:val="19"/>
                <w:szCs w:val="19"/>
              </w:rPr>
              <w:t>μ (mean)</w:t>
            </w:r>
          </w:p>
        </w:tc>
        <w:tc>
          <w:tcPr>
            <w:tcW w:w="2000" w:type="dxa"/>
            <w:shd w:val="clear" w:color="auto" w:fill="F2F2F2"/>
            <w:vAlign w:val="center"/>
          </w:tcPr>
          <w:p w14:paraId="0EEDCE92" w14:textId="77777777" w:rsidR="007E00E9" w:rsidRDefault="00000000">
            <w:pPr>
              <w:spacing w:before="60" w:after="60"/>
              <w:jc w:val="center"/>
            </w:pPr>
            <w:r>
              <w:rPr>
                <w:rFonts w:ascii="Calibri" w:eastAsia="Calibri" w:hAnsi="Calibri" w:cs="Calibri"/>
                <w:color w:val="000000"/>
                <w:sz w:val="19"/>
                <w:szCs w:val="19"/>
              </w:rPr>
              <w:t>0.1025***</w:t>
            </w:r>
          </w:p>
        </w:tc>
        <w:tc>
          <w:tcPr>
            <w:tcW w:w="2000" w:type="dxa"/>
            <w:shd w:val="clear" w:color="auto" w:fill="F2F2F2"/>
            <w:vAlign w:val="center"/>
          </w:tcPr>
          <w:p w14:paraId="541A6BF0" w14:textId="77777777" w:rsidR="007E00E9" w:rsidRDefault="00000000">
            <w:pPr>
              <w:spacing w:before="60" w:after="60"/>
              <w:jc w:val="center"/>
            </w:pPr>
            <w:r>
              <w:rPr>
                <w:rFonts w:ascii="Calibri" w:eastAsia="Calibri" w:hAnsi="Calibri" w:cs="Calibri"/>
                <w:color w:val="000000"/>
                <w:sz w:val="19"/>
                <w:szCs w:val="19"/>
              </w:rPr>
              <w:t>0.0194</w:t>
            </w:r>
          </w:p>
        </w:tc>
        <w:tc>
          <w:tcPr>
            <w:tcW w:w="2000" w:type="dxa"/>
            <w:shd w:val="clear" w:color="auto" w:fill="F2F2F2"/>
            <w:vAlign w:val="center"/>
          </w:tcPr>
          <w:p w14:paraId="14ABB92C" w14:textId="77777777" w:rsidR="007E00E9" w:rsidRDefault="00000000">
            <w:pPr>
              <w:spacing w:before="60" w:after="60"/>
              <w:jc w:val="center"/>
            </w:pPr>
            <w:r>
              <w:rPr>
                <w:rFonts w:ascii="Calibri" w:eastAsia="Calibri" w:hAnsi="Calibri" w:cs="Calibri"/>
                <w:color w:val="000000"/>
                <w:sz w:val="19"/>
                <w:szCs w:val="19"/>
              </w:rPr>
              <w:t>Daily mean return</w:t>
            </w:r>
          </w:p>
        </w:tc>
      </w:tr>
      <w:tr w:rsidR="007E00E9" w14:paraId="5F237BC5" w14:textId="77777777">
        <w:tblPrEx>
          <w:tblCellMar>
            <w:top w:w="0" w:type="dxa"/>
            <w:bottom w:w="0" w:type="dxa"/>
          </w:tblCellMar>
        </w:tblPrEx>
        <w:tc>
          <w:tcPr>
            <w:tcW w:w="3200" w:type="dxa"/>
            <w:shd w:val="clear" w:color="auto" w:fill="FFFFFF"/>
            <w:vAlign w:val="center"/>
          </w:tcPr>
          <w:p w14:paraId="575E6408" w14:textId="77777777" w:rsidR="007E00E9" w:rsidRDefault="00000000">
            <w:pPr>
              <w:spacing w:before="60" w:after="60"/>
            </w:pPr>
            <w:r>
              <w:rPr>
                <w:rFonts w:ascii="Calibri" w:eastAsia="Calibri" w:hAnsi="Calibri" w:cs="Calibri"/>
                <w:color w:val="000000"/>
                <w:sz w:val="19"/>
                <w:szCs w:val="19"/>
              </w:rPr>
              <w:t>ω (intercept)</w:t>
            </w:r>
          </w:p>
        </w:tc>
        <w:tc>
          <w:tcPr>
            <w:tcW w:w="2000" w:type="dxa"/>
            <w:shd w:val="clear" w:color="auto" w:fill="FFFFFF"/>
            <w:vAlign w:val="center"/>
          </w:tcPr>
          <w:p w14:paraId="5B305C79" w14:textId="77777777" w:rsidR="007E00E9" w:rsidRDefault="00000000">
            <w:pPr>
              <w:spacing w:before="60" w:after="60"/>
              <w:jc w:val="center"/>
            </w:pPr>
            <w:r>
              <w:rPr>
                <w:rFonts w:ascii="Calibri" w:eastAsia="Calibri" w:hAnsi="Calibri" w:cs="Calibri"/>
                <w:color w:val="000000"/>
                <w:sz w:val="19"/>
                <w:szCs w:val="19"/>
              </w:rPr>
              <w:t>0.0711***</w:t>
            </w:r>
          </w:p>
        </w:tc>
        <w:tc>
          <w:tcPr>
            <w:tcW w:w="2000" w:type="dxa"/>
            <w:shd w:val="clear" w:color="auto" w:fill="FFFFFF"/>
            <w:vAlign w:val="center"/>
          </w:tcPr>
          <w:p w14:paraId="6958786E" w14:textId="77777777" w:rsidR="007E00E9" w:rsidRDefault="00000000">
            <w:pPr>
              <w:spacing w:before="60" w:after="60"/>
              <w:jc w:val="center"/>
            </w:pPr>
            <w:r>
              <w:rPr>
                <w:rFonts w:ascii="Calibri" w:eastAsia="Calibri" w:hAnsi="Calibri" w:cs="Calibri"/>
                <w:color w:val="000000"/>
                <w:sz w:val="19"/>
                <w:szCs w:val="19"/>
              </w:rPr>
              <w:t>0.0188***</w:t>
            </w:r>
          </w:p>
        </w:tc>
        <w:tc>
          <w:tcPr>
            <w:tcW w:w="2000" w:type="dxa"/>
            <w:shd w:val="clear" w:color="auto" w:fill="FFFFFF"/>
            <w:vAlign w:val="center"/>
          </w:tcPr>
          <w:p w14:paraId="0210F213" w14:textId="77777777" w:rsidR="007E00E9" w:rsidRDefault="00000000">
            <w:pPr>
              <w:spacing w:before="60" w:after="60"/>
              <w:jc w:val="center"/>
            </w:pPr>
            <w:r>
              <w:rPr>
                <w:rFonts w:ascii="Calibri" w:eastAsia="Calibri" w:hAnsi="Calibri" w:cs="Calibri"/>
                <w:color w:val="000000"/>
                <w:sz w:val="19"/>
                <w:szCs w:val="19"/>
              </w:rPr>
              <w:t>Baseline variance</w:t>
            </w:r>
          </w:p>
        </w:tc>
      </w:tr>
      <w:tr w:rsidR="007E00E9" w14:paraId="6457A843" w14:textId="77777777">
        <w:tblPrEx>
          <w:tblCellMar>
            <w:top w:w="0" w:type="dxa"/>
            <w:bottom w:w="0" w:type="dxa"/>
          </w:tblCellMar>
        </w:tblPrEx>
        <w:tc>
          <w:tcPr>
            <w:tcW w:w="3200" w:type="dxa"/>
            <w:shd w:val="clear" w:color="auto" w:fill="F2F2F2"/>
            <w:vAlign w:val="center"/>
          </w:tcPr>
          <w:p w14:paraId="6F502F99" w14:textId="77777777" w:rsidR="007E00E9" w:rsidRDefault="00000000">
            <w:pPr>
              <w:spacing w:before="60" w:after="60"/>
            </w:pPr>
            <w:r>
              <w:rPr>
                <w:rFonts w:ascii="Calibri" w:eastAsia="Calibri" w:hAnsi="Calibri" w:cs="Calibri"/>
                <w:color w:val="000000"/>
                <w:sz w:val="19"/>
                <w:szCs w:val="19"/>
              </w:rPr>
              <w:t>α₁ (ARCH)</w:t>
            </w:r>
          </w:p>
        </w:tc>
        <w:tc>
          <w:tcPr>
            <w:tcW w:w="2000" w:type="dxa"/>
            <w:shd w:val="clear" w:color="auto" w:fill="F2F2F2"/>
            <w:vAlign w:val="center"/>
          </w:tcPr>
          <w:p w14:paraId="723EFB29" w14:textId="77777777" w:rsidR="007E00E9" w:rsidRDefault="00000000">
            <w:pPr>
              <w:spacing w:before="60" w:after="60"/>
              <w:jc w:val="center"/>
            </w:pPr>
            <w:r>
              <w:rPr>
                <w:rFonts w:ascii="Calibri" w:eastAsia="Calibri" w:hAnsi="Calibri" w:cs="Calibri"/>
                <w:color w:val="000000"/>
                <w:sz w:val="19"/>
                <w:szCs w:val="19"/>
              </w:rPr>
              <w:t>0.1252***</w:t>
            </w:r>
          </w:p>
        </w:tc>
        <w:tc>
          <w:tcPr>
            <w:tcW w:w="2000" w:type="dxa"/>
            <w:shd w:val="clear" w:color="auto" w:fill="F2F2F2"/>
            <w:vAlign w:val="center"/>
          </w:tcPr>
          <w:p w14:paraId="75365A63" w14:textId="77777777" w:rsidR="007E00E9" w:rsidRDefault="00000000">
            <w:pPr>
              <w:spacing w:before="60" w:after="60"/>
              <w:jc w:val="center"/>
            </w:pPr>
            <w:r>
              <w:rPr>
                <w:rFonts w:ascii="Calibri" w:eastAsia="Calibri" w:hAnsi="Calibri" w:cs="Calibri"/>
                <w:color w:val="000000"/>
                <w:sz w:val="19"/>
                <w:szCs w:val="19"/>
              </w:rPr>
              <w:t>0.0440*</w:t>
            </w:r>
          </w:p>
        </w:tc>
        <w:tc>
          <w:tcPr>
            <w:tcW w:w="2000" w:type="dxa"/>
            <w:shd w:val="clear" w:color="auto" w:fill="F2F2F2"/>
            <w:vAlign w:val="center"/>
          </w:tcPr>
          <w:p w14:paraId="413689F7" w14:textId="77777777" w:rsidR="007E00E9" w:rsidRDefault="00000000">
            <w:pPr>
              <w:spacing w:before="60" w:after="60"/>
              <w:jc w:val="center"/>
            </w:pPr>
            <w:r>
              <w:rPr>
                <w:rFonts w:ascii="Calibri" w:eastAsia="Calibri" w:hAnsi="Calibri" w:cs="Calibri"/>
                <w:color w:val="000000"/>
                <w:sz w:val="19"/>
                <w:szCs w:val="19"/>
              </w:rPr>
              <w:t>Shock sensitivity</w:t>
            </w:r>
          </w:p>
        </w:tc>
      </w:tr>
      <w:tr w:rsidR="007E00E9" w14:paraId="2D788B0F" w14:textId="77777777">
        <w:tblPrEx>
          <w:tblCellMar>
            <w:top w:w="0" w:type="dxa"/>
            <w:bottom w:w="0" w:type="dxa"/>
          </w:tblCellMar>
        </w:tblPrEx>
        <w:tc>
          <w:tcPr>
            <w:tcW w:w="3200" w:type="dxa"/>
            <w:shd w:val="clear" w:color="auto" w:fill="FFFFFF"/>
            <w:vAlign w:val="center"/>
          </w:tcPr>
          <w:p w14:paraId="11DF02E3" w14:textId="77777777" w:rsidR="007E00E9" w:rsidRDefault="00000000">
            <w:pPr>
              <w:spacing w:before="60" w:after="60"/>
            </w:pPr>
            <w:r>
              <w:rPr>
                <w:rFonts w:ascii="Calibri" w:eastAsia="Calibri" w:hAnsi="Calibri" w:cs="Calibri"/>
                <w:color w:val="000000"/>
                <w:sz w:val="19"/>
                <w:szCs w:val="19"/>
              </w:rPr>
              <w:t>β₁ (GARCH)</w:t>
            </w:r>
          </w:p>
        </w:tc>
        <w:tc>
          <w:tcPr>
            <w:tcW w:w="2000" w:type="dxa"/>
            <w:shd w:val="clear" w:color="auto" w:fill="FFFFFF"/>
            <w:vAlign w:val="center"/>
          </w:tcPr>
          <w:p w14:paraId="337E6B33" w14:textId="77777777" w:rsidR="007E00E9" w:rsidRDefault="00000000">
            <w:pPr>
              <w:spacing w:before="60" w:after="60"/>
              <w:jc w:val="center"/>
            </w:pPr>
            <w:r>
              <w:rPr>
                <w:rFonts w:ascii="Calibri" w:eastAsia="Calibri" w:hAnsi="Calibri" w:cs="Calibri"/>
                <w:color w:val="000000"/>
                <w:sz w:val="19"/>
                <w:szCs w:val="19"/>
              </w:rPr>
              <w:t>0.8108***</w:t>
            </w:r>
          </w:p>
        </w:tc>
        <w:tc>
          <w:tcPr>
            <w:tcW w:w="2000" w:type="dxa"/>
            <w:shd w:val="clear" w:color="auto" w:fill="FFFFFF"/>
            <w:vAlign w:val="center"/>
          </w:tcPr>
          <w:p w14:paraId="13E347DD" w14:textId="77777777" w:rsidR="007E00E9" w:rsidRDefault="00000000">
            <w:pPr>
              <w:spacing w:before="60" w:after="60"/>
              <w:jc w:val="center"/>
            </w:pPr>
            <w:r>
              <w:rPr>
                <w:rFonts w:ascii="Calibri" w:eastAsia="Calibri" w:hAnsi="Calibri" w:cs="Calibri"/>
                <w:color w:val="000000"/>
                <w:sz w:val="19"/>
                <w:szCs w:val="19"/>
              </w:rPr>
              <w:t>0.9391***</w:t>
            </w:r>
          </w:p>
        </w:tc>
        <w:tc>
          <w:tcPr>
            <w:tcW w:w="2000" w:type="dxa"/>
            <w:shd w:val="clear" w:color="auto" w:fill="FFFFFF"/>
            <w:vAlign w:val="center"/>
          </w:tcPr>
          <w:p w14:paraId="1148B5F1" w14:textId="77777777" w:rsidR="007E00E9" w:rsidRDefault="00000000">
            <w:pPr>
              <w:spacing w:before="60" w:after="60"/>
              <w:jc w:val="center"/>
            </w:pPr>
            <w:r>
              <w:rPr>
                <w:rFonts w:ascii="Calibri" w:eastAsia="Calibri" w:hAnsi="Calibri" w:cs="Calibri"/>
                <w:color w:val="000000"/>
                <w:sz w:val="19"/>
                <w:szCs w:val="19"/>
              </w:rPr>
              <w:t>Volatility persistence</w:t>
            </w:r>
          </w:p>
        </w:tc>
      </w:tr>
      <w:tr w:rsidR="007E00E9" w14:paraId="3BD3FB30" w14:textId="77777777">
        <w:tblPrEx>
          <w:tblCellMar>
            <w:top w:w="0" w:type="dxa"/>
            <w:bottom w:w="0" w:type="dxa"/>
          </w:tblCellMar>
        </w:tblPrEx>
        <w:tc>
          <w:tcPr>
            <w:tcW w:w="3200" w:type="dxa"/>
            <w:shd w:val="clear" w:color="auto" w:fill="F2F2F2"/>
            <w:vAlign w:val="center"/>
          </w:tcPr>
          <w:p w14:paraId="047B943F" w14:textId="77777777" w:rsidR="007E00E9" w:rsidRDefault="00000000">
            <w:pPr>
              <w:spacing w:before="60" w:after="60"/>
            </w:pPr>
            <w:r>
              <w:rPr>
                <w:rFonts w:ascii="Calibri" w:eastAsia="Calibri" w:hAnsi="Calibri" w:cs="Calibri"/>
                <w:b/>
                <w:bCs/>
                <w:color w:val="000000"/>
                <w:sz w:val="19"/>
                <w:szCs w:val="19"/>
              </w:rPr>
              <w:t>α₁ + β₁ (Persistence)</w:t>
            </w:r>
          </w:p>
        </w:tc>
        <w:tc>
          <w:tcPr>
            <w:tcW w:w="2000" w:type="dxa"/>
            <w:shd w:val="clear" w:color="auto" w:fill="F2F2F2"/>
            <w:vAlign w:val="center"/>
          </w:tcPr>
          <w:p w14:paraId="13F2E78B" w14:textId="77777777" w:rsidR="007E00E9" w:rsidRDefault="00000000">
            <w:pPr>
              <w:spacing w:before="60" w:after="60"/>
              <w:jc w:val="center"/>
            </w:pPr>
            <w:r>
              <w:rPr>
                <w:rFonts w:ascii="Calibri" w:eastAsia="Calibri" w:hAnsi="Calibri" w:cs="Calibri"/>
                <w:b/>
                <w:bCs/>
                <w:color w:val="000000"/>
                <w:sz w:val="19"/>
                <w:szCs w:val="19"/>
              </w:rPr>
              <w:t>0.9361</w:t>
            </w:r>
          </w:p>
        </w:tc>
        <w:tc>
          <w:tcPr>
            <w:tcW w:w="2000" w:type="dxa"/>
            <w:shd w:val="clear" w:color="auto" w:fill="F2F2F2"/>
            <w:vAlign w:val="center"/>
          </w:tcPr>
          <w:p w14:paraId="68A96AE1" w14:textId="77777777" w:rsidR="007E00E9" w:rsidRDefault="00000000">
            <w:pPr>
              <w:spacing w:before="60" w:after="60"/>
              <w:jc w:val="center"/>
            </w:pPr>
            <w:r>
              <w:rPr>
                <w:rFonts w:ascii="Calibri" w:eastAsia="Calibri" w:hAnsi="Calibri" w:cs="Calibri"/>
                <w:b/>
                <w:bCs/>
                <w:color w:val="000000"/>
                <w:sz w:val="19"/>
                <w:szCs w:val="19"/>
              </w:rPr>
              <w:t>0.9831</w:t>
            </w:r>
          </w:p>
        </w:tc>
        <w:tc>
          <w:tcPr>
            <w:tcW w:w="2000" w:type="dxa"/>
            <w:shd w:val="clear" w:color="auto" w:fill="F2F2F2"/>
            <w:vAlign w:val="center"/>
          </w:tcPr>
          <w:p w14:paraId="46761A19" w14:textId="77777777" w:rsidR="007E00E9" w:rsidRDefault="00000000">
            <w:pPr>
              <w:spacing w:before="60" w:after="60"/>
              <w:jc w:val="center"/>
            </w:pPr>
            <w:r>
              <w:rPr>
                <w:rFonts w:ascii="Calibri" w:eastAsia="Calibri" w:hAnsi="Calibri" w:cs="Calibri"/>
                <w:color w:val="000000"/>
                <w:sz w:val="19"/>
                <w:szCs w:val="19"/>
              </w:rPr>
              <w:t>Shock half-life</w:t>
            </w:r>
          </w:p>
        </w:tc>
      </w:tr>
    </w:tbl>
    <w:p w14:paraId="4E582C90" w14:textId="77777777" w:rsidR="007E00E9" w:rsidRDefault="00000000">
      <w:pPr>
        <w:spacing w:before="40" w:after="160"/>
        <w:jc w:val="center"/>
      </w:pPr>
      <w:r>
        <w:rPr>
          <w:rFonts w:ascii="Calibri" w:eastAsia="Calibri" w:hAnsi="Calibri" w:cs="Calibri"/>
          <w:i/>
          <w:iCs/>
          <w:color w:val="4A4A6A"/>
          <w:sz w:val="18"/>
          <w:szCs w:val="18"/>
        </w:rPr>
        <w:t>Table 2: GARCH(1,1) Coefficients. *** p&lt;0.01, * p&lt;0.10 (robust standard errors).</w:t>
      </w:r>
    </w:p>
    <w:p w14:paraId="27B27F22" w14:textId="77777777" w:rsidR="007E00E9" w:rsidRDefault="00000000">
      <w:pPr>
        <w:spacing w:after="100"/>
        <w:jc w:val="both"/>
      </w:pPr>
      <w:r>
        <w:rPr>
          <w:rFonts w:ascii="Calibri" w:eastAsia="Calibri" w:hAnsi="Calibri" w:cs="Calibri"/>
          <w:color w:val="000000"/>
          <w:sz w:val="22"/>
          <w:szCs w:val="22"/>
        </w:rPr>
        <w:t>All parameters are precisely estimated and statistically significant at conventional levels, with the exception of gold's mean return (μ = 0.019, p = 0.238) — consistent with the descriptive statistics showing gold's near-zero daily mean. The α₁ parameter for gold is borderline significant under robust standard errors (p = 0.055) but significant under standard errors, and is retained given the economic importance of the ARCH effect.</w:t>
      </w:r>
    </w:p>
    <w:p w14:paraId="05C407A2" w14:textId="77777777" w:rsidR="007E00E9" w:rsidRDefault="00000000">
      <w:pPr>
        <w:spacing w:after="100"/>
        <w:jc w:val="both"/>
      </w:pPr>
      <w:r>
        <w:rPr>
          <w:rFonts w:ascii="Calibri" w:eastAsia="Calibri" w:hAnsi="Calibri" w:cs="Calibri"/>
          <w:color w:val="000000"/>
          <w:sz w:val="22"/>
          <w:szCs w:val="22"/>
        </w:rPr>
        <w:t>Volatility persistence is extremely high for both assets: 0.936 for KSE-100 and 0.983 for COMEX Gold. This means that a volatility shock today retains 93.6% and 98.3% of its impact tomorrow, respectively. Gold's near-unit-root persistence is well documented in the empirical finance literature and reflects the asset's tendency to remain in elevated volatility regimes for extended periods following major shocks.</w:t>
      </w:r>
    </w:p>
    <w:p w14:paraId="4C6581E1" w14:textId="77777777" w:rsidR="007E00E9" w:rsidRDefault="00000000">
      <w:pPr>
        <w:spacing w:after="100"/>
        <w:jc w:val="both"/>
        <w:rPr>
          <w:rFonts w:ascii="Calibri" w:eastAsia="Calibri" w:hAnsi="Calibri" w:cs="Calibri"/>
          <w:color w:val="000000"/>
          <w:sz w:val="22"/>
          <w:szCs w:val="22"/>
        </w:rPr>
      </w:pPr>
      <w:r>
        <w:rPr>
          <w:rFonts w:ascii="Calibri" w:eastAsia="Calibri" w:hAnsi="Calibri" w:cs="Calibri"/>
          <w:color w:val="000000"/>
          <w:sz w:val="22"/>
          <w:szCs w:val="22"/>
        </w:rPr>
        <w:t>The substantially higher α₁ for KSE-100 (0.125 vs 0.044) indicates that the Pakistani equity market is more sensitive to individual day shocks — new bad news hits KSE-100 volatility harder than it hits gold, consistent with the thinner liquidity and higher idiosyncratic risk of an emerging market equity index.</w:t>
      </w:r>
    </w:p>
    <w:p w14:paraId="5ECDCAF5" w14:textId="77777777" w:rsidR="00A4543C" w:rsidRDefault="00A4543C">
      <w:pPr>
        <w:spacing w:after="100"/>
        <w:jc w:val="both"/>
        <w:rPr>
          <w:rFonts w:ascii="Calibri" w:eastAsia="Calibri" w:hAnsi="Calibri" w:cs="Calibri"/>
          <w:color w:val="000000"/>
          <w:sz w:val="22"/>
          <w:szCs w:val="22"/>
        </w:rPr>
      </w:pPr>
    </w:p>
    <w:p w14:paraId="6FC4C647" w14:textId="77777777" w:rsidR="00A4543C" w:rsidRDefault="00A4543C">
      <w:pPr>
        <w:spacing w:after="100"/>
        <w:jc w:val="both"/>
        <w:rPr>
          <w:rFonts w:ascii="Calibri" w:eastAsia="Calibri" w:hAnsi="Calibri" w:cs="Calibri"/>
          <w:color w:val="000000"/>
          <w:sz w:val="22"/>
          <w:szCs w:val="22"/>
        </w:rPr>
      </w:pPr>
    </w:p>
    <w:p w14:paraId="36275B47" w14:textId="77777777" w:rsidR="00A4543C" w:rsidRDefault="00A4543C">
      <w:pPr>
        <w:spacing w:after="100"/>
        <w:jc w:val="both"/>
        <w:rPr>
          <w:rFonts w:ascii="Calibri" w:eastAsia="Calibri" w:hAnsi="Calibri" w:cs="Calibri"/>
          <w:color w:val="000000"/>
          <w:sz w:val="22"/>
          <w:szCs w:val="22"/>
        </w:rPr>
      </w:pPr>
    </w:p>
    <w:p w14:paraId="6864E81B" w14:textId="77777777" w:rsidR="00A4543C" w:rsidRDefault="00A4543C">
      <w:pPr>
        <w:spacing w:after="100"/>
        <w:jc w:val="both"/>
        <w:rPr>
          <w:rFonts w:ascii="Calibri" w:eastAsia="Calibri" w:hAnsi="Calibri" w:cs="Calibri"/>
          <w:color w:val="000000"/>
          <w:sz w:val="22"/>
          <w:szCs w:val="22"/>
        </w:rPr>
      </w:pPr>
    </w:p>
    <w:p w14:paraId="04AB9E3C" w14:textId="77777777" w:rsidR="00A4543C" w:rsidRDefault="00A4543C">
      <w:pPr>
        <w:spacing w:after="100"/>
        <w:jc w:val="both"/>
        <w:rPr>
          <w:rFonts w:ascii="Calibri" w:eastAsia="Calibri" w:hAnsi="Calibri" w:cs="Calibri"/>
          <w:color w:val="000000"/>
          <w:sz w:val="22"/>
          <w:szCs w:val="22"/>
        </w:rPr>
      </w:pPr>
    </w:p>
    <w:p w14:paraId="699B4CFE" w14:textId="77777777" w:rsidR="00A4543C" w:rsidRDefault="00A4543C">
      <w:pPr>
        <w:spacing w:after="100"/>
        <w:jc w:val="both"/>
        <w:rPr>
          <w:rFonts w:ascii="Calibri" w:eastAsia="Calibri" w:hAnsi="Calibri" w:cs="Calibri"/>
          <w:color w:val="000000"/>
          <w:sz w:val="22"/>
          <w:szCs w:val="22"/>
        </w:rPr>
      </w:pPr>
    </w:p>
    <w:p w14:paraId="52B2A88F" w14:textId="77777777" w:rsidR="00A4543C" w:rsidRDefault="00A4543C">
      <w:pPr>
        <w:spacing w:after="100"/>
        <w:jc w:val="both"/>
        <w:rPr>
          <w:rFonts w:ascii="Calibri" w:eastAsia="Calibri" w:hAnsi="Calibri" w:cs="Calibri"/>
          <w:color w:val="000000"/>
          <w:sz w:val="22"/>
          <w:szCs w:val="22"/>
        </w:rPr>
      </w:pPr>
    </w:p>
    <w:p w14:paraId="39686AB4" w14:textId="77777777" w:rsidR="00A4543C" w:rsidRDefault="00A4543C">
      <w:pPr>
        <w:spacing w:after="100"/>
        <w:jc w:val="both"/>
      </w:pPr>
    </w:p>
    <w:p w14:paraId="6D347F22" w14:textId="77777777" w:rsidR="007E00E9" w:rsidRDefault="00000000">
      <w:pPr>
        <w:pStyle w:val="Heading2"/>
        <w:spacing w:before="280"/>
      </w:pPr>
      <w:r>
        <w:lastRenderedPageBreak/>
        <w:t>4.3 Conditional Volatility</w:t>
      </w:r>
    </w:p>
    <w:p w14:paraId="11FE38DC" w14:textId="77777777" w:rsidR="007E00E9" w:rsidRDefault="00000000">
      <w:pPr>
        <w:spacing w:before="80" w:after="40"/>
        <w:jc w:val="center"/>
      </w:pPr>
      <w:r>
        <w:rPr>
          <w:noProof/>
        </w:rPr>
        <w:drawing>
          <wp:inline distT="0" distB="0" distL="0" distR="0" wp14:anchorId="777CA069" wp14:editId="0322D7DB">
            <wp:extent cx="5524500" cy="2190750"/>
            <wp:effectExtent l="0" t="0" r="0" b="0"/>
            <wp:docPr id="1275198852" name="Picture 1275198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2190750"/>
                    </a:xfrm>
                    <a:prstGeom prst="rect">
                      <a:avLst/>
                    </a:prstGeom>
                  </pic:spPr>
                </pic:pic>
              </a:graphicData>
            </a:graphic>
          </wp:inline>
        </w:drawing>
      </w:r>
    </w:p>
    <w:p w14:paraId="60D80CFD" w14:textId="77777777" w:rsidR="007E00E9" w:rsidRDefault="00000000">
      <w:pPr>
        <w:spacing w:before="40" w:after="160"/>
        <w:jc w:val="center"/>
      </w:pPr>
      <w:r>
        <w:rPr>
          <w:rFonts w:ascii="Calibri" w:eastAsia="Calibri" w:hAnsi="Calibri" w:cs="Calibri"/>
          <w:i/>
          <w:iCs/>
          <w:color w:val="4A4A6A"/>
          <w:sz w:val="18"/>
          <w:szCs w:val="18"/>
        </w:rPr>
        <w:t>Figure 5: KSE-100 GARCH(1,1) Conditional Volatility (2010–2024)</w:t>
      </w:r>
    </w:p>
    <w:p w14:paraId="5B77212C" w14:textId="77777777" w:rsidR="007E00E9" w:rsidRDefault="00000000">
      <w:pPr>
        <w:spacing w:before="80" w:after="40"/>
        <w:jc w:val="center"/>
      </w:pPr>
      <w:r>
        <w:rPr>
          <w:noProof/>
        </w:rPr>
        <w:drawing>
          <wp:inline distT="0" distB="0" distL="0" distR="0" wp14:anchorId="6ABF9BD6" wp14:editId="53CA522F">
            <wp:extent cx="5524500" cy="2190750"/>
            <wp:effectExtent l="0" t="0" r="0" b="0"/>
            <wp:docPr id="608598015" name="Picture 608598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2190750"/>
                    </a:xfrm>
                    <a:prstGeom prst="rect">
                      <a:avLst/>
                    </a:prstGeom>
                  </pic:spPr>
                </pic:pic>
              </a:graphicData>
            </a:graphic>
          </wp:inline>
        </w:drawing>
      </w:r>
    </w:p>
    <w:p w14:paraId="044077F8" w14:textId="77777777" w:rsidR="007E00E9" w:rsidRDefault="00000000">
      <w:pPr>
        <w:spacing w:before="40" w:after="160"/>
        <w:jc w:val="center"/>
      </w:pPr>
      <w:r>
        <w:rPr>
          <w:rFonts w:ascii="Calibri" w:eastAsia="Calibri" w:hAnsi="Calibri" w:cs="Calibri"/>
          <w:i/>
          <w:iCs/>
          <w:color w:val="4A4A6A"/>
          <w:sz w:val="18"/>
          <w:szCs w:val="18"/>
        </w:rPr>
        <w:t>Figure 6: COMEX Gold GARCH(1,1) Conditional Volatility (2010–2024)</w:t>
      </w:r>
    </w:p>
    <w:p w14:paraId="3847168C" w14:textId="77777777" w:rsidR="007E00E9" w:rsidRDefault="00000000">
      <w:pPr>
        <w:spacing w:after="100"/>
        <w:jc w:val="both"/>
      </w:pPr>
      <w:r>
        <w:rPr>
          <w:rFonts w:ascii="Calibri" w:eastAsia="Calibri" w:hAnsi="Calibri" w:cs="Calibri"/>
          <w:color w:val="000000"/>
          <w:sz w:val="22"/>
          <w:szCs w:val="22"/>
        </w:rPr>
        <w:t>Figures 5 and 6 plot the estimated conditional volatility series σ_t for each asset. Both series clearly identify the COVID-19 episode as the dominant stress event of the sample, with KSE-100 conditional volatility reaching approximately 3.7% and gold reaching approximately 2.9% in March-April 2020. KSE-100 also shows elevated volatility in 2015 and 2018-2019, corresponding to domestic macro-financial stress. Gold shows elevated volatility in 2011-2012 during the post-GFC safe-haven demand surge.</w:t>
      </w:r>
    </w:p>
    <w:p w14:paraId="1A38CE35" w14:textId="77777777" w:rsidR="007E00E9" w:rsidRDefault="00000000">
      <w:pPr>
        <w:spacing w:after="100"/>
        <w:jc w:val="both"/>
        <w:rPr>
          <w:rFonts w:ascii="Calibri" w:eastAsia="Calibri" w:hAnsi="Calibri" w:cs="Calibri"/>
          <w:color w:val="000000"/>
          <w:sz w:val="22"/>
          <w:szCs w:val="22"/>
        </w:rPr>
      </w:pPr>
      <w:r>
        <w:rPr>
          <w:rFonts w:ascii="Calibri" w:eastAsia="Calibri" w:hAnsi="Calibri" w:cs="Calibri"/>
          <w:color w:val="000000"/>
          <w:sz w:val="22"/>
          <w:szCs w:val="22"/>
        </w:rPr>
        <w:t>The GARCH diagnostic tests confirm model adequacy. The weighted Ljung-Box test on squared standardised residuals yields p-values well above 0.10 for both assets, indicating no remaining ARCH effects in the residuals — the GARCH(1,1) has successfully captured the volatility clustering. The ARCH LM tests confirm this finding.</w:t>
      </w:r>
    </w:p>
    <w:p w14:paraId="1E620989" w14:textId="77777777" w:rsidR="00A4543C" w:rsidRDefault="00A4543C">
      <w:pPr>
        <w:spacing w:after="100"/>
        <w:jc w:val="both"/>
        <w:rPr>
          <w:rFonts w:ascii="Calibri" w:eastAsia="Calibri" w:hAnsi="Calibri" w:cs="Calibri"/>
          <w:color w:val="000000"/>
          <w:sz w:val="22"/>
          <w:szCs w:val="22"/>
        </w:rPr>
      </w:pPr>
    </w:p>
    <w:p w14:paraId="5812BC5A" w14:textId="77777777" w:rsidR="00A4543C" w:rsidRDefault="00A4543C">
      <w:pPr>
        <w:spacing w:after="100"/>
        <w:jc w:val="both"/>
        <w:rPr>
          <w:rFonts w:ascii="Calibri" w:eastAsia="Calibri" w:hAnsi="Calibri" w:cs="Calibri"/>
          <w:color w:val="000000"/>
          <w:sz w:val="22"/>
          <w:szCs w:val="22"/>
        </w:rPr>
      </w:pPr>
    </w:p>
    <w:p w14:paraId="1B00FE91" w14:textId="77777777" w:rsidR="00A4543C" w:rsidRDefault="00A4543C">
      <w:pPr>
        <w:spacing w:after="100"/>
        <w:jc w:val="both"/>
        <w:rPr>
          <w:rFonts w:ascii="Calibri" w:eastAsia="Calibri" w:hAnsi="Calibri" w:cs="Calibri"/>
          <w:color w:val="000000"/>
          <w:sz w:val="22"/>
          <w:szCs w:val="22"/>
        </w:rPr>
      </w:pPr>
    </w:p>
    <w:p w14:paraId="05837ED8" w14:textId="77777777" w:rsidR="00A4543C" w:rsidRDefault="00A4543C">
      <w:pPr>
        <w:spacing w:after="100"/>
        <w:jc w:val="both"/>
        <w:rPr>
          <w:rFonts w:ascii="Calibri" w:eastAsia="Calibri" w:hAnsi="Calibri" w:cs="Calibri"/>
          <w:color w:val="000000"/>
          <w:sz w:val="22"/>
          <w:szCs w:val="22"/>
        </w:rPr>
      </w:pPr>
    </w:p>
    <w:p w14:paraId="12A28FE3" w14:textId="77777777" w:rsidR="00A4543C" w:rsidRDefault="00A4543C">
      <w:pPr>
        <w:spacing w:after="100"/>
        <w:jc w:val="both"/>
        <w:rPr>
          <w:rFonts w:ascii="Calibri" w:eastAsia="Calibri" w:hAnsi="Calibri" w:cs="Calibri"/>
          <w:color w:val="000000"/>
          <w:sz w:val="22"/>
          <w:szCs w:val="22"/>
        </w:rPr>
      </w:pPr>
    </w:p>
    <w:p w14:paraId="4071B242" w14:textId="77777777" w:rsidR="00A4543C" w:rsidRDefault="00A4543C">
      <w:pPr>
        <w:spacing w:after="100"/>
        <w:jc w:val="both"/>
        <w:rPr>
          <w:rFonts w:ascii="Calibri" w:eastAsia="Calibri" w:hAnsi="Calibri" w:cs="Calibri"/>
          <w:color w:val="000000"/>
          <w:sz w:val="22"/>
          <w:szCs w:val="22"/>
        </w:rPr>
      </w:pPr>
    </w:p>
    <w:p w14:paraId="294B6427" w14:textId="77777777" w:rsidR="00A4543C" w:rsidRDefault="00A4543C">
      <w:pPr>
        <w:spacing w:after="100"/>
        <w:jc w:val="both"/>
      </w:pPr>
    </w:p>
    <w:p w14:paraId="104B7676" w14:textId="77777777" w:rsidR="007E00E9" w:rsidRDefault="00000000">
      <w:pPr>
        <w:pStyle w:val="Heading2"/>
        <w:spacing w:before="280"/>
      </w:pPr>
      <w:r>
        <w:lastRenderedPageBreak/>
        <w:t>4.4 Standardised Residuals</w:t>
      </w:r>
    </w:p>
    <w:p w14:paraId="3A0C50FA" w14:textId="77777777" w:rsidR="007E00E9" w:rsidRDefault="00000000">
      <w:pPr>
        <w:spacing w:before="80" w:after="40"/>
        <w:jc w:val="center"/>
      </w:pPr>
      <w:r>
        <w:rPr>
          <w:noProof/>
        </w:rPr>
        <w:drawing>
          <wp:inline distT="0" distB="0" distL="0" distR="0" wp14:anchorId="13BFC612" wp14:editId="3F1E50B8">
            <wp:extent cx="5524500" cy="2000250"/>
            <wp:effectExtent l="0" t="0" r="0" b="0"/>
            <wp:docPr id="226207206" name="Picture 226207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2000250"/>
                    </a:xfrm>
                    <a:prstGeom prst="rect">
                      <a:avLst/>
                    </a:prstGeom>
                  </pic:spPr>
                </pic:pic>
              </a:graphicData>
            </a:graphic>
          </wp:inline>
        </w:drawing>
      </w:r>
    </w:p>
    <w:p w14:paraId="058B64EF" w14:textId="77777777" w:rsidR="007E00E9" w:rsidRDefault="00000000">
      <w:pPr>
        <w:spacing w:before="40" w:after="160"/>
        <w:jc w:val="center"/>
      </w:pPr>
      <w:r>
        <w:rPr>
          <w:rFonts w:ascii="Calibri" w:eastAsia="Calibri" w:hAnsi="Calibri" w:cs="Calibri"/>
          <w:i/>
          <w:iCs/>
          <w:color w:val="4A4A6A"/>
          <w:sz w:val="18"/>
          <w:szCs w:val="18"/>
        </w:rPr>
        <w:t>Figure 7: KSE-100 GARCH(1,1) Standardised Residuals</w:t>
      </w:r>
    </w:p>
    <w:p w14:paraId="4FABDDB2" w14:textId="77777777" w:rsidR="007E00E9" w:rsidRDefault="00000000">
      <w:pPr>
        <w:spacing w:before="80" w:after="40"/>
        <w:jc w:val="center"/>
      </w:pPr>
      <w:r>
        <w:rPr>
          <w:noProof/>
        </w:rPr>
        <w:drawing>
          <wp:inline distT="0" distB="0" distL="0" distR="0" wp14:anchorId="090B74D2" wp14:editId="178D44D4">
            <wp:extent cx="5524500" cy="2000250"/>
            <wp:effectExtent l="0" t="0" r="0" b="0"/>
            <wp:docPr id="215779109" name="Picture 215779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2000250"/>
                    </a:xfrm>
                    <a:prstGeom prst="rect">
                      <a:avLst/>
                    </a:prstGeom>
                  </pic:spPr>
                </pic:pic>
              </a:graphicData>
            </a:graphic>
          </wp:inline>
        </w:drawing>
      </w:r>
    </w:p>
    <w:p w14:paraId="0F64CA56" w14:textId="77777777" w:rsidR="007E00E9" w:rsidRDefault="00000000">
      <w:pPr>
        <w:spacing w:before="40" w:after="160"/>
        <w:jc w:val="center"/>
      </w:pPr>
      <w:r>
        <w:rPr>
          <w:rFonts w:ascii="Calibri" w:eastAsia="Calibri" w:hAnsi="Calibri" w:cs="Calibri"/>
          <w:i/>
          <w:iCs/>
          <w:color w:val="4A4A6A"/>
          <w:sz w:val="18"/>
          <w:szCs w:val="18"/>
        </w:rPr>
        <w:t>Figure 8: COMEX Gold GARCH(1,1) Standardised Residuals</w:t>
      </w:r>
    </w:p>
    <w:p w14:paraId="28B30276" w14:textId="77777777" w:rsidR="007E00E9" w:rsidRDefault="00000000">
      <w:pPr>
        <w:spacing w:after="100"/>
        <w:jc w:val="both"/>
      </w:pPr>
      <w:r>
        <w:rPr>
          <w:rFonts w:ascii="Calibri" w:eastAsia="Calibri" w:hAnsi="Calibri" w:cs="Calibri"/>
          <w:color w:val="000000"/>
          <w:sz w:val="22"/>
          <w:szCs w:val="22"/>
        </w:rPr>
        <w:t>The standardised residuals z_t = ε_t / σ_t have mean −0.052 and standard deviation 0.999 for KSE-100, and mean 0.004 and standard deviation 1.001 for COMEX Gold — very close to the expected mean zero and unit variance. Figures 7 and 8 show that volatility clustering has been largely removed from the residuals, though extreme outliers persist — most notably a z-score of approximately −8 for gold around April 2013 (the flash crash), which exceeds what any GARCH model can absorb in a single period. These standardised residuals form the empirical innovation distribution resampled in the FHS VaR computation.</w:t>
      </w:r>
    </w:p>
    <w:p w14:paraId="76722BB3" w14:textId="77777777" w:rsidR="007E00E9" w:rsidRDefault="00000000">
      <w:r>
        <w:br w:type="page"/>
      </w:r>
    </w:p>
    <w:p w14:paraId="15037322" w14:textId="77777777" w:rsidR="007E00E9" w:rsidRDefault="00000000">
      <w:pPr>
        <w:pStyle w:val="Heading1"/>
        <w:pBdr>
          <w:bottom w:val="single" w:sz="6" w:space="0" w:color="2C7BB6"/>
        </w:pBdr>
      </w:pPr>
      <w:r>
        <w:lastRenderedPageBreak/>
        <w:t>5. VaR and ES Estimation Results</w:t>
      </w:r>
    </w:p>
    <w:p w14:paraId="406491A1" w14:textId="77777777" w:rsidR="007E00E9" w:rsidRDefault="00000000">
      <w:pPr>
        <w:pStyle w:val="Heading2"/>
        <w:spacing w:before="280"/>
      </w:pPr>
      <w:r>
        <w:t>5.1 Summary of All Estimates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34"/>
        <w:gridCol w:w="1161"/>
        <w:gridCol w:w="1161"/>
        <w:gridCol w:w="1161"/>
        <w:gridCol w:w="1161"/>
        <w:gridCol w:w="1161"/>
        <w:gridCol w:w="1161"/>
      </w:tblGrid>
      <w:tr w:rsidR="007E00E9" w14:paraId="4D670977" w14:textId="77777777">
        <w:tblPrEx>
          <w:tblCellMar>
            <w:top w:w="0" w:type="dxa"/>
            <w:bottom w:w="0" w:type="dxa"/>
          </w:tblCellMar>
        </w:tblPrEx>
        <w:tc>
          <w:tcPr>
            <w:tcW w:w="2400" w:type="dxa"/>
            <w:shd w:val="clear" w:color="auto" w:fill="2C7BB6"/>
            <w:vAlign w:val="center"/>
          </w:tcPr>
          <w:p w14:paraId="6D33A2C1" w14:textId="77777777" w:rsidR="007E00E9" w:rsidRDefault="00000000">
            <w:pPr>
              <w:spacing w:before="80" w:after="80"/>
              <w:jc w:val="center"/>
            </w:pPr>
            <w:r>
              <w:rPr>
                <w:rFonts w:ascii="Calibri" w:eastAsia="Calibri" w:hAnsi="Calibri" w:cs="Calibri"/>
                <w:b/>
                <w:bCs/>
                <w:color w:val="FFFFFF"/>
                <w:sz w:val="19"/>
                <w:szCs w:val="19"/>
              </w:rPr>
              <w:t>Asset / Conf.</w:t>
            </w:r>
          </w:p>
        </w:tc>
        <w:tc>
          <w:tcPr>
            <w:tcW w:w="1100" w:type="dxa"/>
            <w:shd w:val="clear" w:color="auto" w:fill="2C7BB6"/>
            <w:vAlign w:val="center"/>
          </w:tcPr>
          <w:p w14:paraId="70F7BB13" w14:textId="77777777" w:rsidR="007E00E9" w:rsidRDefault="00000000">
            <w:pPr>
              <w:spacing w:before="80" w:after="80"/>
              <w:jc w:val="center"/>
            </w:pPr>
            <w:r>
              <w:rPr>
                <w:rFonts w:ascii="Calibri" w:eastAsia="Calibri" w:hAnsi="Calibri" w:cs="Calibri"/>
                <w:b/>
                <w:bCs/>
                <w:color w:val="FFFFFF"/>
                <w:sz w:val="19"/>
                <w:szCs w:val="19"/>
              </w:rPr>
              <w:t>HS VaR</w:t>
            </w:r>
          </w:p>
        </w:tc>
        <w:tc>
          <w:tcPr>
            <w:tcW w:w="1100" w:type="dxa"/>
            <w:shd w:val="clear" w:color="auto" w:fill="2C7BB6"/>
            <w:vAlign w:val="center"/>
          </w:tcPr>
          <w:p w14:paraId="6AD0B692" w14:textId="77777777" w:rsidR="007E00E9" w:rsidRDefault="00000000">
            <w:pPr>
              <w:spacing w:before="80" w:after="80"/>
              <w:jc w:val="center"/>
            </w:pPr>
            <w:r>
              <w:rPr>
                <w:rFonts w:ascii="Calibri" w:eastAsia="Calibri" w:hAnsi="Calibri" w:cs="Calibri"/>
                <w:b/>
                <w:bCs/>
                <w:color w:val="FFFFFF"/>
                <w:sz w:val="19"/>
                <w:szCs w:val="19"/>
              </w:rPr>
              <w:t>HS ES</w:t>
            </w:r>
          </w:p>
        </w:tc>
        <w:tc>
          <w:tcPr>
            <w:tcW w:w="1100" w:type="dxa"/>
            <w:shd w:val="clear" w:color="auto" w:fill="2C7BB6"/>
            <w:vAlign w:val="center"/>
          </w:tcPr>
          <w:p w14:paraId="63F8E3D1" w14:textId="77777777" w:rsidR="007E00E9" w:rsidRDefault="00000000">
            <w:pPr>
              <w:spacing w:before="80" w:after="80"/>
              <w:jc w:val="center"/>
            </w:pPr>
            <w:r>
              <w:rPr>
                <w:rFonts w:ascii="Calibri" w:eastAsia="Calibri" w:hAnsi="Calibri" w:cs="Calibri"/>
                <w:b/>
                <w:bCs/>
                <w:color w:val="FFFFFF"/>
                <w:sz w:val="19"/>
                <w:szCs w:val="19"/>
              </w:rPr>
              <w:t>Param VaR</w:t>
            </w:r>
          </w:p>
        </w:tc>
        <w:tc>
          <w:tcPr>
            <w:tcW w:w="1100" w:type="dxa"/>
            <w:shd w:val="clear" w:color="auto" w:fill="2C7BB6"/>
            <w:vAlign w:val="center"/>
          </w:tcPr>
          <w:p w14:paraId="5E48AE9A" w14:textId="77777777" w:rsidR="007E00E9" w:rsidRDefault="00000000">
            <w:pPr>
              <w:spacing w:before="80" w:after="80"/>
              <w:jc w:val="center"/>
            </w:pPr>
            <w:r>
              <w:rPr>
                <w:rFonts w:ascii="Calibri" w:eastAsia="Calibri" w:hAnsi="Calibri" w:cs="Calibri"/>
                <w:b/>
                <w:bCs/>
                <w:color w:val="FFFFFF"/>
                <w:sz w:val="19"/>
                <w:szCs w:val="19"/>
              </w:rPr>
              <w:t>Param ES</w:t>
            </w:r>
          </w:p>
        </w:tc>
        <w:tc>
          <w:tcPr>
            <w:tcW w:w="1100" w:type="dxa"/>
            <w:shd w:val="clear" w:color="auto" w:fill="2C7BB6"/>
            <w:vAlign w:val="center"/>
          </w:tcPr>
          <w:p w14:paraId="255F3672" w14:textId="77777777" w:rsidR="007E00E9" w:rsidRDefault="00000000">
            <w:pPr>
              <w:spacing w:before="80" w:after="80"/>
              <w:jc w:val="center"/>
            </w:pPr>
            <w:r>
              <w:rPr>
                <w:rFonts w:ascii="Calibri" w:eastAsia="Calibri" w:hAnsi="Calibri" w:cs="Calibri"/>
                <w:b/>
                <w:bCs/>
                <w:color w:val="FFFFFF"/>
                <w:sz w:val="19"/>
                <w:szCs w:val="19"/>
              </w:rPr>
              <w:t>FHS VaR</w:t>
            </w:r>
          </w:p>
        </w:tc>
        <w:tc>
          <w:tcPr>
            <w:tcW w:w="1100" w:type="dxa"/>
            <w:shd w:val="clear" w:color="auto" w:fill="2C7BB6"/>
            <w:vAlign w:val="center"/>
          </w:tcPr>
          <w:p w14:paraId="50B8677D" w14:textId="77777777" w:rsidR="007E00E9" w:rsidRDefault="00000000">
            <w:pPr>
              <w:spacing w:before="80" w:after="80"/>
              <w:jc w:val="center"/>
            </w:pPr>
            <w:r>
              <w:rPr>
                <w:rFonts w:ascii="Calibri" w:eastAsia="Calibri" w:hAnsi="Calibri" w:cs="Calibri"/>
                <w:b/>
                <w:bCs/>
                <w:color w:val="FFFFFF"/>
                <w:sz w:val="19"/>
                <w:szCs w:val="19"/>
              </w:rPr>
              <w:t>FHS ES</w:t>
            </w:r>
          </w:p>
        </w:tc>
      </w:tr>
      <w:tr w:rsidR="007E00E9" w14:paraId="0EEA55D0" w14:textId="77777777">
        <w:tblPrEx>
          <w:tblCellMar>
            <w:top w:w="0" w:type="dxa"/>
            <w:bottom w:w="0" w:type="dxa"/>
          </w:tblCellMar>
        </w:tblPrEx>
        <w:tc>
          <w:tcPr>
            <w:tcW w:w="2400" w:type="dxa"/>
            <w:shd w:val="clear" w:color="auto" w:fill="F2F2F2"/>
            <w:vAlign w:val="center"/>
          </w:tcPr>
          <w:p w14:paraId="04E2F905" w14:textId="77777777" w:rsidR="007E00E9" w:rsidRDefault="00000000">
            <w:pPr>
              <w:spacing w:before="60" w:after="60"/>
            </w:pPr>
            <w:r>
              <w:rPr>
                <w:rFonts w:ascii="Calibri" w:eastAsia="Calibri" w:hAnsi="Calibri" w:cs="Calibri"/>
                <w:b/>
                <w:bCs/>
                <w:color w:val="000000"/>
                <w:sz w:val="19"/>
                <w:szCs w:val="19"/>
              </w:rPr>
              <w:t>KSE-100 — 95%</w:t>
            </w:r>
          </w:p>
        </w:tc>
        <w:tc>
          <w:tcPr>
            <w:tcW w:w="1100" w:type="dxa"/>
            <w:shd w:val="clear" w:color="auto" w:fill="F2F2F2"/>
            <w:vAlign w:val="center"/>
          </w:tcPr>
          <w:p w14:paraId="1277DFAE" w14:textId="77777777" w:rsidR="007E00E9" w:rsidRDefault="00000000">
            <w:pPr>
              <w:spacing w:before="60" w:after="60"/>
              <w:jc w:val="center"/>
            </w:pPr>
            <w:r>
              <w:rPr>
                <w:rFonts w:ascii="Calibri" w:eastAsia="Calibri" w:hAnsi="Calibri" w:cs="Calibri"/>
                <w:color w:val="000000"/>
                <w:sz w:val="19"/>
                <w:szCs w:val="19"/>
              </w:rPr>
              <w:t>−1.61%</w:t>
            </w:r>
          </w:p>
        </w:tc>
        <w:tc>
          <w:tcPr>
            <w:tcW w:w="1100" w:type="dxa"/>
            <w:shd w:val="clear" w:color="auto" w:fill="F2F2F2"/>
            <w:vAlign w:val="center"/>
          </w:tcPr>
          <w:p w14:paraId="1BCCC5CB" w14:textId="77777777" w:rsidR="007E00E9" w:rsidRDefault="00000000">
            <w:pPr>
              <w:spacing w:before="60" w:after="60"/>
              <w:jc w:val="center"/>
            </w:pPr>
            <w:r>
              <w:rPr>
                <w:rFonts w:ascii="Calibri" w:eastAsia="Calibri" w:hAnsi="Calibri" w:cs="Calibri"/>
                <w:color w:val="000000"/>
                <w:sz w:val="19"/>
                <w:szCs w:val="19"/>
              </w:rPr>
              <w:t>−2.51%</w:t>
            </w:r>
          </w:p>
        </w:tc>
        <w:tc>
          <w:tcPr>
            <w:tcW w:w="1100" w:type="dxa"/>
            <w:shd w:val="clear" w:color="auto" w:fill="F2F2F2"/>
            <w:vAlign w:val="center"/>
          </w:tcPr>
          <w:p w14:paraId="19CCBD56" w14:textId="77777777" w:rsidR="007E00E9" w:rsidRDefault="00000000">
            <w:pPr>
              <w:spacing w:before="60" w:after="60"/>
              <w:jc w:val="center"/>
            </w:pPr>
            <w:r>
              <w:rPr>
                <w:rFonts w:ascii="Calibri" w:eastAsia="Calibri" w:hAnsi="Calibri" w:cs="Calibri"/>
                <w:color w:val="000000"/>
                <w:sz w:val="19"/>
                <w:szCs w:val="19"/>
              </w:rPr>
              <w:t>−1.66%</w:t>
            </w:r>
          </w:p>
        </w:tc>
        <w:tc>
          <w:tcPr>
            <w:tcW w:w="1100" w:type="dxa"/>
            <w:shd w:val="clear" w:color="auto" w:fill="F2F2F2"/>
            <w:vAlign w:val="center"/>
          </w:tcPr>
          <w:p w14:paraId="5E8855BF" w14:textId="77777777" w:rsidR="007E00E9" w:rsidRDefault="00000000">
            <w:pPr>
              <w:spacing w:before="60" w:after="60"/>
              <w:jc w:val="center"/>
            </w:pPr>
            <w:r>
              <w:rPr>
                <w:rFonts w:ascii="Calibri" w:eastAsia="Calibri" w:hAnsi="Calibri" w:cs="Calibri"/>
                <w:color w:val="000000"/>
                <w:sz w:val="19"/>
                <w:szCs w:val="19"/>
              </w:rPr>
              <w:t>−2.09%</w:t>
            </w:r>
          </w:p>
        </w:tc>
        <w:tc>
          <w:tcPr>
            <w:tcW w:w="1100" w:type="dxa"/>
            <w:shd w:val="clear" w:color="auto" w:fill="F2F2F2"/>
            <w:vAlign w:val="center"/>
          </w:tcPr>
          <w:p w14:paraId="2F4E617F" w14:textId="77777777" w:rsidR="007E00E9" w:rsidRDefault="00000000">
            <w:pPr>
              <w:spacing w:before="60" w:after="60"/>
              <w:jc w:val="center"/>
            </w:pPr>
            <w:r>
              <w:rPr>
                <w:rFonts w:ascii="Calibri" w:eastAsia="Calibri" w:hAnsi="Calibri" w:cs="Calibri"/>
                <w:color w:val="000000"/>
                <w:sz w:val="19"/>
                <w:szCs w:val="19"/>
              </w:rPr>
              <w:t>−1.59%</w:t>
            </w:r>
          </w:p>
        </w:tc>
        <w:tc>
          <w:tcPr>
            <w:tcW w:w="1100" w:type="dxa"/>
            <w:shd w:val="clear" w:color="auto" w:fill="F2F2F2"/>
            <w:vAlign w:val="center"/>
          </w:tcPr>
          <w:p w14:paraId="6CFF0832" w14:textId="77777777" w:rsidR="007E00E9" w:rsidRDefault="00000000">
            <w:pPr>
              <w:spacing w:before="60" w:after="60"/>
              <w:jc w:val="center"/>
            </w:pPr>
            <w:r>
              <w:rPr>
                <w:rFonts w:ascii="Calibri" w:eastAsia="Calibri" w:hAnsi="Calibri" w:cs="Calibri"/>
                <w:color w:val="000000"/>
                <w:sz w:val="19"/>
                <w:szCs w:val="19"/>
              </w:rPr>
              <w:t>−2.31%</w:t>
            </w:r>
          </w:p>
        </w:tc>
      </w:tr>
      <w:tr w:rsidR="007E00E9" w14:paraId="1C6F6E25" w14:textId="77777777">
        <w:tblPrEx>
          <w:tblCellMar>
            <w:top w:w="0" w:type="dxa"/>
            <w:bottom w:w="0" w:type="dxa"/>
          </w:tblCellMar>
        </w:tblPrEx>
        <w:tc>
          <w:tcPr>
            <w:tcW w:w="2400" w:type="dxa"/>
            <w:shd w:val="clear" w:color="auto" w:fill="FFFFFF"/>
            <w:vAlign w:val="center"/>
          </w:tcPr>
          <w:p w14:paraId="4EEAB28D" w14:textId="77777777" w:rsidR="007E00E9" w:rsidRDefault="00000000">
            <w:pPr>
              <w:spacing w:before="60" w:after="60"/>
            </w:pPr>
            <w:r>
              <w:rPr>
                <w:rFonts w:ascii="Calibri" w:eastAsia="Calibri" w:hAnsi="Calibri" w:cs="Calibri"/>
                <w:b/>
                <w:bCs/>
                <w:color w:val="000000"/>
                <w:sz w:val="19"/>
                <w:szCs w:val="19"/>
              </w:rPr>
              <w:t>KSE-100 — 99%</w:t>
            </w:r>
          </w:p>
        </w:tc>
        <w:tc>
          <w:tcPr>
            <w:tcW w:w="1100" w:type="dxa"/>
            <w:shd w:val="clear" w:color="auto" w:fill="FFFFFF"/>
            <w:vAlign w:val="center"/>
          </w:tcPr>
          <w:p w14:paraId="1CD0A896" w14:textId="77777777" w:rsidR="007E00E9" w:rsidRDefault="00000000">
            <w:pPr>
              <w:spacing w:before="60" w:after="60"/>
              <w:jc w:val="center"/>
            </w:pPr>
            <w:r>
              <w:rPr>
                <w:rFonts w:ascii="Calibri" w:eastAsia="Calibri" w:hAnsi="Calibri" w:cs="Calibri"/>
                <w:color w:val="000000"/>
                <w:sz w:val="19"/>
                <w:szCs w:val="19"/>
              </w:rPr>
              <w:t>−3.04%</w:t>
            </w:r>
          </w:p>
        </w:tc>
        <w:tc>
          <w:tcPr>
            <w:tcW w:w="1100" w:type="dxa"/>
            <w:shd w:val="clear" w:color="auto" w:fill="FFFFFF"/>
            <w:vAlign w:val="center"/>
          </w:tcPr>
          <w:p w14:paraId="0BE04269" w14:textId="77777777" w:rsidR="007E00E9" w:rsidRDefault="00000000">
            <w:pPr>
              <w:spacing w:before="60" w:after="60"/>
              <w:jc w:val="center"/>
            </w:pPr>
            <w:r>
              <w:rPr>
                <w:rFonts w:ascii="Calibri" w:eastAsia="Calibri" w:hAnsi="Calibri" w:cs="Calibri"/>
                <w:color w:val="000000"/>
                <w:sz w:val="19"/>
                <w:szCs w:val="19"/>
              </w:rPr>
              <w:t>−4.01%</w:t>
            </w:r>
          </w:p>
        </w:tc>
        <w:tc>
          <w:tcPr>
            <w:tcW w:w="1100" w:type="dxa"/>
            <w:shd w:val="clear" w:color="auto" w:fill="FFFFFF"/>
            <w:vAlign w:val="center"/>
          </w:tcPr>
          <w:p w14:paraId="3560674C" w14:textId="77777777" w:rsidR="007E00E9" w:rsidRDefault="00000000">
            <w:pPr>
              <w:spacing w:before="60" w:after="60"/>
              <w:jc w:val="center"/>
            </w:pPr>
            <w:r>
              <w:rPr>
                <w:rFonts w:ascii="Calibri" w:eastAsia="Calibri" w:hAnsi="Calibri" w:cs="Calibri"/>
                <w:color w:val="CC0000"/>
                <w:sz w:val="19"/>
                <w:szCs w:val="19"/>
              </w:rPr>
              <w:t>−2.37%</w:t>
            </w:r>
          </w:p>
        </w:tc>
        <w:tc>
          <w:tcPr>
            <w:tcW w:w="1100" w:type="dxa"/>
            <w:shd w:val="clear" w:color="auto" w:fill="FFFFFF"/>
            <w:vAlign w:val="center"/>
          </w:tcPr>
          <w:p w14:paraId="4E67AE71" w14:textId="77777777" w:rsidR="007E00E9" w:rsidRDefault="00000000">
            <w:pPr>
              <w:spacing w:before="60" w:after="60"/>
              <w:jc w:val="center"/>
            </w:pPr>
            <w:r>
              <w:rPr>
                <w:rFonts w:ascii="Calibri" w:eastAsia="Calibri" w:hAnsi="Calibri" w:cs="Calibri"/>
                <w:color w:val="CC0000"/>
                <w:sz w:val="19"/>
                <w:szCs w:val="19"/>
              </w:rPr>
              <w:t>−2.72%</w:t>
            </w:r>
          </w:p>
        </w:tc>
        <w:tc>
          <w:tcPr>
            <w:tcW w:w="1100" w:type="dxa"/>
            <w:shd w:val="clear" w:color="auto" w:fill="FFFFFF"/>
            <w:vAlign w:val="center"/>
          </w:tcPr>
          <w:p w14:paraId="7A9C0B1A" w14:textId="77777777" w:rsidR="007E00E9" w:rsidRDefault="00000000">
            <w:pPr>
              <w:spacing w:before="60" w:after="60"/>
              <w:jc w:val="center"/>
            </w:pPr>
            <w:r>
              <w:rPr>
                <w:rFonts w:ascii="Calibri" w:eastAsia="Calibri" w:hAnsi="Calibri" w:cs="Calibri"/>
                <w:color w:val="000000"/>
                <w:sz w:val="19"/>
                <w:szCs w:val="19"/>
              </w:rPr>
              <w:t>−2.80%</w:t>
            </w:r>
          </w:p>
        </w:tc>
        <w:tc>
          <w:tcPr>
            <w:tcW w:w="1100" w:type="dxa"/>
            <w:shd w:val="clear" w:color="auto" w:fill="FFFFFF"/>
            <w:vAlign w:val="center"/>
          </w:tcPr>
          <w:p w14:paraId="4F62CD6B" w14:textId="77777777" w:rsidR="007E00E9" w:rsidRDefault="00000000">
            <w:pPr>
              <w:spacing w:before="60" w:after="60"/>
              <w:jc w:val="center"/>
            </w:pPr>
            <w:r>
              <w:rPr>
                <w:rFonts w:ascii="Calibri" w:eastAsia="Calibri" w:hAnsi="Calibri" w:cs="Calibri"/>
                <w:color w:val="000000"/>
                <w:sz w:val="19"/>
                <w:szCs w:val="19"/>
              </w:rPr>
              <w:t>−3.43%</w:t>
            </w:r>
          </w:p>
        </w:tc>
      </w:tr>
      <w:tr w:rsidR="007E00E9" w14:paraId="6366170E" w14:textId="77777777">
        <w:tblPrEx>
          <w:tblCellMar>
            <w:top w:w="0" w:type="dxa"/>
            <w:bottom w:w="0" w:type="dxa"/>
          </w:tblCellMar>
        </w:tblPrEx>
        <w:tc>
          <w:tcPr>
            <w:tcW w:w="2400" w:type="dxa"/>
            <w:shd w:val="clear" w:color="auto" w:fill="F2F2F2"/>
            <w:vAlign w:val="center"/>
          </w:tcPr>
          <w:p w14:paraId="79E146F9" w14:textId="77777777" w:rsidR="007E00E9" w:rsidRDefault="00000000">
            <w:pPr>
              <w:spacing w:before="60" w:after="60"/>
            </w:pPr>
            <w:r>
              <w:rPr>
                <w:rFonts w:ascii="Calibri" w:eastAsia="Calibri" w:hAnsi="Calibri" w:cs="Calibri"/>
                <w:b/>
                <w:bCs/>
                <w:color w:val="000000"/>
                <w:sz w:val="19"/>
                <w:szCs w:val="19"/>
              </w:rPr>
              <w:t>COMEX Gold — 95%</w:t>
            </w:r>
          </w:p>
        </w:tc>
        <w:tc>
          <w:tcPr>
            <w:tcW w:w="1100" w:type="dxa"/>
            <w:shd w:val="clear" w:color="auto" w:fill="F2F2F2"/>
            <w:vAlign w:val="center"/>
          </w:tcPr>
          <w:p w14:paraId="526CADE0" w14:textId="77777777" w:rsidR="007E00E9" w:rsidRDefault="00000000">
            <w:pPr>
              <w:spacing w:before="60" w:after="60"/>
              <w:jc w:val="center"/>
            </w:pPr>
            <w:r>
              <w:rPr>
                <w:rFonts w:ascii="Calibri" w:eastAsia="Calibri" w:hAnsi="Calibri" w:cs="Calibri"/>
                <w:color w:val="000000"/>
                <w:sz w:val="19"/>
                <w:szCs w:val="19"/>
              </w:rPr>
              <w:t>−1.65%</w:t>
            </w:r>
          </w:p>
        </w:tc>
        <w:tc>
          <w:tcPr>
            <w:tcW w:w="1100" w:type="dxa"/>
            <w:shd w:val="clear" w:color="auto" w:fill="F2F2F2"/>
            <w:vAlign w:val="center"/>
          </w:tcPr>
          <w:p w14:paraId="2E57481D" w14:textId="77777777" w:rsidR="007E00E9" w:rsidRDefault="00000000">
            <w:pPr>
              <w:spacing w:before="60" w:after="60"/>
              <w:jc w:val="center"/>
            </w:pPr>
            <w:r>
              <w:rPr>
                <w:rFonts w:ascii="Calibri" w:eastAsia="Calibri" w:hAnsi="Calibri" w:cs="Calibri"/>
                <w:color w:val="000000"/>
                <w:sz w:val="19"/>
                <w:szCs w:val="19"/>
              </w:rPr>
              <w:t>−2.48%</w:t>
            </w:r>
          </w:p>
        </w:tc>
        <w:tc>
          <w:tcPr>
            <w:tcW w:w="1100" w:type="dxa"/>
            <w:shd w:val="clear" w:color="auto" w:fill="F2F2F2"/>
            <w:vAlign w:val="center"/>
          </w:tcPr>
          <w:p w14:paraId="65763CED" w14:textId="77777777" w:rsidR="007E00E9" w:rsidRDefault="00000000">
            <w:pPr>
              <w:spacing w:before="60" w:after="60"/>
              <w:jc w:val="center"/>
            </w:pPr>
            <w:r>
              <w:rPr>
                <w:rFonts w:ascii="Calibri" w:eastAsia="Calibri" w:hAnsi="Calibri" w:cs="Calibri"/>
                <w:color w:val="000000"/>
                <w:sz w:val="19"/>
                <w:szCs w:val="19"/>
              </w:rPr>
              <w:t>−1.69%</w:t>
            </w:r>
          </w:p>
        </w:tc>
        <w:tc>
          <w:tcPr>
            <w:tcW w:w="1100" w:type="dxa"/>
            <w:shd w:val="clear" w:color="auto" w:fill="F2F2F2"/>
            <w:vAlign w:val="center"/>
          </w:tcPr>
          <w:p w14:paraId="040C3960" w14:textId="77777777" w:rsidR="007E00E9" w:rsidRDefault="00000000">
            <w:pPr>
              <w:spacing w:before="60" w:after="60"/>
              <w:jc w:val="center"/>
            </w:pPr>
            <w:r>
              <w:rPr>
                <w:rFonts w:ascii="Calibri" w:eastAsia="Calibri" w:hAnsi="Calibri" w:cs="Calibri"/>
                <w:color w:val="000000"/>
                <w:sz w:val="19"/>
                <w:szCs w:val="19"/>
              </w:rPr>
              <w:t>−2.13%</w:t>
            </w:r>
          </w:p>
        </w:tc>
        <w:tc>
          <w:tcPr>
            <w:tcW w:w="1100" w:type="dxa"/>
            <w:shd w:val="clear" w:color="auto" w:fill="F2F2F2"/>
            <w:vAlign w:val="center"/>
          </w:tcPr>
          <w:p w14:paraId="6401D337" w14:textId="77777777" w:rsidR="007E00E9" w:rsidRDefault="00000000">
            <w:pPr>
              <w:spacing w:before="60" w:after="60"/>
              <w:jc w:val="center"/>
            </w:pPr>
            <w:r>
              <w:rPr>
                <w:rFonts w:ascii="Calibri" w:eastAsia="Calibri" w:hAnsi="Calibri" w:cs="Calibri"/>
                <w:color w:val="000000"/>
                <w:sz w:val="19"/>
                <w:szCs w:val="19"/>
              </w:rPr>
              <w:t>−1.80%</w:t>
            </w:r>
          </w:p>
        </w:tc>
        <w:tc>
          <w:tcPr>
            <w:tcW w:w="1100" w:type="dxa"/>
            <w:shd w:val="clear" w:color="auto" w:fill="F2F2F2"/>
            <w:vAlign w:val="center"/>
          </w:tcPr>
          <w:p w14:paraId="3510DFCA" w14:textId="77777777" w:rsidR="007E00E9" w:rsidRDefault="00000000">
            <w:pPr>
              <w:spacing w:before="60" w:after="60"/>
              <w:jc w:val="center"/>
            </w:pPr>
            <w:r>
              <w:rPr>
                <w:rFonts w:ascii="Calibri" w:eastAsia="Calibri" w:hAnsi="Calibri" w:cs="Calibri"/>
                <w:color w:val="000000"/>
                <w:sz w:val="19"/>
                <w:szCs w:val="19"/>
              </w:rPr>
              <w:t>−2.64%</w:t>
            </w:r>
          </w:p>
        </w:tc>
      </w:tr>
      <w:tr w:rsidR="007E00E9" w14:paraId="3CE5A279" w14:textId="77777777">
        <w:tblPrEx>
          <w:tblCellMar>
            <w:top w:w="0" w:type="dxa"/>
            <w:bottom w:w="0" w:type="dxa"/>
          </w:tblCellMar>
        </w:tblPrEx>
        <w:tc>
          <w:tcPr>
            <w:tcW w:w="2400" w:type="dxa"/>
            <w:shd w:val="clear" w:color="auto" w:fill="FFFFFF"/>
            <w:vAlign w:val="center"/>
          </w:tcPr>
          <w:p w14:paraId="5E8F69A6" w14:textId="77777777" w:rsidR="007E00E9" w:rsidRDefault="00000000">
            <w:pPr>
              <w:spacing w:before="60" w:after="60"/>
            </w:pPr>
            <w:r>
              <w:rPr>
                <w:rFonts w:ascii="Calibri" w:eastAsia="Calibri" w:hAnsi="Calibri" w:cs="Calibri"/>
                <w:b/>
                <w:bCs/>
                <w:color w:val="000000"/>
                <w:sz w:val="19"/>
                <w:szCs w:val="19"/>
              </w:rPr>
              <w:t>COMEX Gold — 99%</w:t>
            </w:r>
          </w:p>
        </w:tc>
        <w:tc>
          <w:tcPr>
            <w:tcW w:w="1100" w:type="dxa"/>
            <w:shd w:val="clear" w:color="auto" w:fill="FFFFFF"/>
            <w:vAlign w:val="center"/>
          </w:tcPr>
          <w:p w14:paraId="3ED4DEEB" w14:textId="77777777" w:rsidR="007E00E9" w:rsidRDefault="00000000">
            <w:pPr>
              <w:spacing w:before="60" w:after="60"/>
              <w:jc w:val="center"/>
            </w:pPr>
            <w:r>
              <w:rPr>
                <w:rFonts w:ascii="Calibri" w:eastAsia="Calibri" w:hAnsi="Calibri" w:cs="Calibri"/>
                <w:color w:val="000000"/>
                <w:sz w:val="19"/>
                <w:szCs w:val="19"/>
              </w:rPr>
              <w:t>−2.80%</w:t>
            </w:r>
          </w:p>
        </w:tc>
        <w:tc>
          <w:tcPr>
            <w:tcW w:w="1100" w:type="dxa"/>
            <w:shd w:val="clear" w:color="auto" w:fill="FFFFFF"/>
            <w:vAlign w:val="center"/>
          </w:tcPr>
          <w:p w14:paraId="0778C081" w14:textId="77777777" w:rsidR="007E00E9" w:rsidRDefault="00000000">
            <w:pPr>
              <w:spacing w:before="60" w:after="60"/>
              <w:jc w:val="center"/>
            </w:pPr>
            <w:r>
              <w:rPr>
                <w:rFonts w:ascii="Calibri" w:eastAsia="Calibri" w:hAnsi="Calibri" w:cs="Calibri"/>
                <w:color w:val="000000"/>
                <w:sz w:val="19"/>
                <w:szCs w:val="19"/>
              </w:rPr>
              <w:t>−4.08%</w:t>
            </w:r>
          </w:p>
        </w:tc>
        <w:tc>
          <w:tcPr>
            <w:tcW w:w="1100" w:type="dxa"/>
            <w:shd w:val="clear" w:color="auto" w:fill="FFFFFF"/>
            <w:vAlign w:val="center"/>
          </w:tcPr>
          <w:p w14:paraId="3E7DD441" w14:textId="77777777" w:rsidR="007E00E9" w:rsidRDefault="00000000">
            <w:pPr>
              <w:spacing w:before="60" w:after="60"/>
              <w:jc w:val="center"/>
            </w:pPr>
            <w:r>
              <w:rPr>
                <w:rFonts w:ascii="Calibri" w:eastAsia="Calibri" w:hAnsi="Calibri" w:cs="Calibri"/>
                <w:color w:val="CC0000"/>
                <w:sz w:val="19"/>
                <w:szCs w:val="19"/>
              </w:rPr>
              <w:t>−2.40%</w:t>
            </w:r>
          </w:p>
        </w:tc>
        <w:tc>
          <w:tcPr>
            <w:tcW w:w="1100" w:type="dxa"/>
            <w:shd w:val="clear" w:color="auto" w:fill="FFFFFF"/>
            <w:vAlign w:val="center"/>
          </w:tcPr>
          <w:p w14:paraId="7C448EB6" w14:textId="77777777" w:rsidR="007E00E9" w:rsidRDefault="00000000">
            <w:pPr>
              <w:spacing w:before="60" w:after="60"/>
              <w:jc w:val="center"/>
            </w:pPr>
            <w:r>
              <w:rPr>
                <w:rFonts w:ascii="Calibri" w:eastAsia="Calibri" w:hAnsi="Calibri" w:cs="Calibri"/>
                <w:color w:val="CC0000"/>
                <w:sz w:val="19"/>
                <w:szCs w:val="19"/>
              </w:rPr>
              <w:t>−2.75%</w:t>
            </w:r>
          </w:p>
        </w:tc>
        <w:tc>
          <w:tcPr>
            <w:tcW w:w="1100" w:type="dxa"/>
            <w:shd w:val="clear" w:color="auto" w:fill="FFFFFF"/>
            <w:vAlign w:val="center"/>
          </w:tcPr>
          <w:p w14:paraId="6D23D8CC" w14:textId="77777777" w:rsidR="007E00E9" w:rsidRDefault="00000000">
            <w:pPr>
              <w:spacing w:before="60" w:after="60"/>
              <w:jc w:val="center"/>
            </w:pPr>
            <w:r>
              <w:rPr>
                <w:rFonts w:ascii="Calibri" w:eastAsia="Calibri" w:hAnsi="Calibri" w:cs="Calibri"/>
                <w:color w:val="000000"/>
                <w:sz w:val="19"/>
                <w:szCs w:val="19"/>
              </w:rPr>
              <w:t>−3.03%</w:t>
            </w:r>
          </w:p>
        </w:tc>
        <w:tc>
          <w:tcPr>
            <w:tcW w:w="1100" w:type="dxa"/>
            <w:shd w:val="clear" w:color="auto" w:fill="FFFFFF"/>
            <w:vAlign w:val="center"/>
          </w:tcPr>
          <w:p w14:paraId="1340ED8B" w14:textId="77777777" w:rsidR="007E00E9" w:rsidRDefault="00000000">
            <w:pPr>
              <w:spacing w:before="60" w:after="60"/>
              <w:jc w:val="center"/>
            </w:pPr>
            <w:r>
              <w:rPr>
                <w:rFonts w:ascii="Calibri" w:eastAsia="Calibri" w:hAnsi="Calibri" w:cs="Calibri"/>
                <w:color w:val="000000"/>
                <w:sz w:val="19"/>
                <w:szCs w:val="19"/>
              </w:rPr>
              <w:t>−4.16%</w:t>
            </w:r>
          </w:p>
        </w:tc>
      </w:tr>
    </w:tbl>
    <w:p w14:paraId="5096BF8B" w14:textId="77777777" w:rsidR="007E00E9" w:rsidRDefault="00000000">
      <w:pPr>
        <w:spacing w:before="40" w:after="160"/>
        <w:jc w:val="center"/>
      </w:pPr>
      <w:r>
        <w:rPr>
          <w:rFonts w:ascii="Calibri" w:eastAsia="Calibri" w:hAnsi="Calibri" w:cs="Calibri"/>
          <w:i/>
          <w:iCs/>
          <w:color w:val="4A4A6A"/>
          <w:sz w:val="18"/>
          <w:szCs w:val="18"/>
        </w:rPr>
        <w:t>Table 3: VaR and ES Estimates — All Methods and Confidence Levels. Red = systematic underestimation confirmed by backtesting.</w:t>
      </w:r>
    </w:p>
    <w:p w14:paraId="423F0B31" w14:textId="77777777" w:rsidR="007E00E9" w:rsidRDefault="00000000">
      <w:pPr>
        <w:pStyle w:val="Heading2"/>
        <w:spacing w:before="280"/>
      </w:pPr>
      <w:r>
        <w:t>5.2 Method Comparison — KSE-100</w:t>
      </w:r>
    </w:p>
    <w:p w14:paraId="079D2C86" w14:textId="77777777" w:rsidR="007E00E9" w:rsidRDefault="00000000">
      <w:pPr>
        <w:spacing w:before="80" w:after="40"/>
        <w:jc w:val="center"/>
      </w:pPr>
      <w:r>
        <w:rPr>
          <w:noProof/>
        </w:rPr>
        <w:drawing>
          <wp:inline distT="0" distB="0" distL="0" distR="0" wp14:anchorId="219636C2" wp14:editId="1ABF7DBB">
            <wp:extent cx="4953000" cy="2762250"/>
            <wp:effectExtent l="0" t="0" r="0" b="0"/>
            <wp:docPr id="490051568" name="Picture 490051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2762250"/>
                    </a:xfrm>
                    <a:prstGeom prst="rect">
                      <a:avLst/>
                    </a:prstGeom>
                  </pic:spPr>
                </pic:pic>
              </a:graphicData>
            </a:graphic>
          </wp:inline>
        </w:drawing>
      </w:r>
    </w:p>
    <w:p w14:paraId="33C1BC5D" w14:textId="77777777" w:rsidR="007E00E9" w:rsidRDefault="00000000">
      <w:pPr>
        <w:spacing w:before="40" w:after="160"/>
        <w:jc w:val="center"/>
      </w:pPr>
      <w:r>
        <w:rPr>
          <w:rFonts w:ascii="Calibri" w:eastAsia="Calibri" w:hAnsi="Calibri" w:cs="Calibri"/>
          <w:i/>
          <w:iCs/>
          <w:color w:val="4A4A6A"/>
          <w:sz w:val="18"/>
          <w:szCs w:val="18"/>
        </w:rPr>
        <w:t>Figure 9: KSE-100 VaR Comparison Across Three Methods</w:t>
      </w:r>
    </w:p>
    <w:p w14:paraId="2A6411A8" w14:textId="77777777" w:rsidR="007E00E9" w:rsidRDefault="00000000">
      <w:pPr>
        <w:spacing w:after="100"/>
        <w:jc w:val="both"/>
      </w:pPr>
      <w:r>
        <w:rPr>
          <w:rFonts w:ascii="Calibri" w:eastAsia="Calibri" w:hAnsi="Calibri" w:cs="Calibri"/>
          <w:color w:val="000000"/>
          <w:sz w:val="22"/>
          <w:szCs w:val="22"/>
        </w:rPr>
        <w:t>At the 95% confidence level, all three methods produce nearly identical VaR estimates for KSE-100 (−1.59% to −1.66%). This convergence is expected: near the centre of the distribution, the normal approximation is relatively accurate, and all three methods draw on similar parts of the empirical distribution.</w:t>
      </w:r>
    </w:p>
    <w:p w14:paraId="5C0613A6" w14:textId="77777777" w:rsidR="007E00E9" w:rsidRDefault="00000000">
      <w:pPr>
        <w:spacing w:after="100"/>
        <w:jc w:val="both"/>
        <w:rPr>
          <w:rFonts w:ascii="Calibri" w:eastAsia="Calibri" w:hAnsi="Calibri" w:cs="Calibri"/>
          <w:color w:val="000000"/>
          <w:sz w:val="22"/>
          <w:szCs w:val="22"/>
        </w:rPr>
      </w:pPr>
      <w:r>
        <w:rPr>
          <w:rFonts w:ascii="Calibri" w:eastAsia="Calibri" w:hAnsi="Calibri" w:cs="Calibri"/>
          <w:color w:val="000000"/>
          <w:sz w:val="22"/>
          <w:szCs w:val="22"/>
        </w:rPr>
        <w:t>At the 99% confidence level, the methods diverge sharply. Historical Simulation produces the most conservative estimate at −3.04%, GARCH-FHS produces −2.80%, and the Parametric method produces −2.37% — 67 basis points less conservative than HS. At the ES level, the gap is even more pronounced: Parametric ES of −2.72% vs HS ES of −4.01%, a difference of 129 basis points. A risk manager relying on the Parametric method at the 99% level would hold approximately one-third less capital against extreme KSE-100 losses than the empirical distribution warrants.</w:t>
      </w:r>
    </w:p>
    <w:p w14:paraId="63726423" w14:textId="77777777" w:rsidR="00A4543C" w:rsidRDefault="00A4543C">
      <w:pPr>
        <w:spacing w:after="100"/>
        <w:jc w:val="both"/>
        <w:rPr>
          <w:rFonts w:ascii="Calibri" w:eastAsia="Calibri" w:hAnsi="Calibri" w:cs="Calibri"/>
          <w:color w:val="000000"/>
          <w:sz w:val="22"/>
          <w:szCs w:val="22"/>
        </w:rPr>
      </w:pPr>
    </w:p>
    <w:p w14:paraId="468FE23F" w14:textId="77777777" w:rsidR="00A4543C" w:rsidRDefault="00A4543C">
      <w:pPr>
        <w:spacing w:after="100"/>
        <w:jc w:val="both"/>
        <w:rPr>
          <w:rFonts w:ascii="Calibri" w:eastAsia="Calibri" w:hAnsi="Calibri" w:cs="Calibri"/>
          <w:color w:val="000000"/>
          <w:sz w:val="22"/>
          <w:szCs w:val="22"/>
        </w:rPr>
      </w:pPr>
    </w:p>
    <w:p w14:paraId="0132582F" w14:textId="77777777" w:rsidR="00A4543C" w:rsidRDefault="00A4543C">
      <w:pPr>
        <w:spacing w:after="100"/>
        <w:jc w:val="both"/>
        <w:rPr>
          <w:rFonts w:ascii="Calibri" w:eastAsia="Calibri" w:hAnsi="Calibri" w:cs="Calibri"/>
          <w:color w:val="000000"/>
          <w:sz w:val="22"/>
          <w:szCs w:val="22"/>
        </w:rPr>
      </w:pPr>
    </w:p>
    <w:p w14:paraId="23CD27B7" w14:textId="77777777" w:rsidR="00A4543C" w:rsidRDefault="00A4543C">
      <w:pPr>
        <w:spacing w:after="100"/>
        <w:jc w:val="both"/>
        <w:rPr>
          <w:rFonts w:ascii="Calibri" w:eastAsia="Calibri" w:hAnsi="Calibri" w:cs="Calibri"/>
          <w:color w:val="000000"/>
          <w:sz w:val="22"/>
          <w:szCs w:val="22"/>
        </w:rPr>
      </w:pPr>
    </w:p>
    <w:p w14:paraId="1C0A40E5" w14:textId="77777777" w:rsidR="00A4543C" w:rsidRDefault="00A4543C">
      <w:pPr>
        <w:spacing w:after="100"/>
        <w:jc w:val="both"/>
      </w:pPr>
    </w:p>
    <w:p w14:paraId="702CBB4B" w14:textId="77777777" w:rsidR="007E00E9" w:rsidRDefault="00000000">
      <w:pPr>
        <w:pStyle w:val="Heading2"/>
        <w:spacing w:before="280"/>
      </w:pPr>
      <w:r>
        <w:lastRenderedPageBreak/>
        <w:t>5.3 Method Comparison — COMEX Gold</w:t>
      </w:r>
    </w:p>
    <w:p w14:paraId="7F1A0CFA" w14:textId="77777777" w:rsidR="007E00E9" w:rsidRDefault="00000000">
      <w:pPr>
        <w:spacing w:before="80" w:after="40"/>
        <w:jc w:val="center"/>
      </w:pPr>
      <w:r>
        <w:rPr>
          <w:noProof/>
        </w:rPr>
        <w:drawing>
          <wp:inline distT="0" distB="0" distL="0" distR="0" wp14:anchorId="3F472CD3" wp14:editId="288F75D8">
            <wp:extent cx="4953000" cy="2762250"/>
            <wp:effectExtent l="0" t="0" r="0" b="0"/>
            <wp:docPr id="762620294" name="Picture 762620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2762250"/>
                    </a:xfrm>
                    <a:prstGeom prst="rect">
                      <a:avLst/>
                    </a:prstGeom>
                  </pic:spPr>
                </pic:pic>
              </a:graphicData>
            </a:graphic>
          </wp:inline>
        </w:drawing>
      </w:r>
    </w:p>
    <w:p w14:paraId="2570BFD8" w14:textId="77777777" w:rsidR="007E00E9" w:rsidRDefault="00000000">
      <w:pPr>
        <w:spacing w:before="40" w:after="160"/>
        <w:jc w:val="center"/>
      </w:pPr>
      <w:r>
        <w:rPr>
          <w:rFonts w:ascii="Calibri" w:eastAsia="Calibri" w:hAnsi="Calibri" w:cs="Calibri"/>
          <w:i/>
          <w:iCs/>
          <w:color w:val="4A4A6A"/>
          <w:sz w:val="18"/>
          <w:szCs w:val="18"/>
        </w:rPr>
        <w:t>Figure 10: COMEX Gold VaR Comparison Across Three Methods</w:t>
      </w:r>
    </w:p>
    <w:p w14:paraId="717C8008" w14:textId="77777777" w:rsidR="007E00E9" w:rsidRDefault="00000000">
      <w:pPr>
        <w:spacing w:after="100"/>
        <w:jc w:val="both"/>
      </w:pPr>
      <w:r>
        <w:rPr>
          <w:rFonts w:ascii="Calibri" w:eastAsia="Calibri" w:hAnsi="Calibri" w:cs="Calibri"/>
          <w:color w:val="000000"/>
          <w:sz w:val="22"/>
          <w:szCs w:val="22"/>
        </w:rPr>
        <w:t>Gold exhibits a different pattern. At 95%, GARCH-FHS produces the most conservative estimate (−1.80%), exceeding even HS (−1.65%). This occurs because gold's last conditional volatility σ_T = 1.107% is above the historical average — GARCH correctly identifies that gold was in an elevated volatility regime at the end of the sample period, and scales the risk estimate upward accordingly. This is the key advantage of GARCH-FHS over static methods: it is forward-looking.</w:t>
      </w:r>
    </w:p>
    <w:p w14:paraId="5048A672" w14:textId="77777777" w:rsidR="007E00E9" w:rsidRDefault="00000000">
      <w:pPr>
        <w:spacing w:after="100"/>
        <w:jc w:val="both"/>
      </w:pPr>
      <w:r>
        <w:rPr>
          <w:rFonts w:ascii="Calibri" w:eastAsia="Calibri" w:hAnsi="Calibri" w:cs="Calibri"/>
          <w:color w:val="000000"/>
          <w:sz w:val="22"/>
          <w:szCs w:val="22"/>
        </w:rPr>
        <w:t>At 99%, the ordering shifts: HS produces −2.80%, GARCH-FHS produces −3.03% (most conservative), and Parametric produces −2.40% (least conservative). The Parametric method again underestimates tail risk most severely, consistent with gold's extreme excess kurtosis of 8.87.</w:t>
      </w:r>
    </w:p>
    <w:p w14:paraId="0E2640DA" w14:textId="77777777" w:rsidR="007E00E9" w:rsidRDefault="00000000">
      <w:pPr>
        <w:pStyle w:val="Heading2"/>
        <w:spacing w:before="280"/>
      </w:pPr>
      <w:r>
        <w:t>5.4 Historical Simulation VaR — Distributions</w:t>
      </w:r>
    </w:p>
    <w:p w14:paraId="6C92B213" w14:textId="77777777" w:rsidR="007E00E9" w:rsidRDefault="00000000">
      <w:pPr>
        <w:spacing w:before="80" w:after="40"/>
        <w:jc w:val="center"/>
      </w:pPr>
      <w:r>
        <w:rPr>
          <w:noProof/>
        </w:rPr>
        <w:drawing>
          <wp:inline distT="0" distB="0" distL="0" distR="0" wp14:anchorId="22A8951F" wp14:editId="386D7BD6">
            <wp:extent cx="4762500" cy="2667000"/>
            <wp:effectExtent l="0" t="0" r="0" b="0"/>
            <wp:docPr id="431153580" name="Picture 431153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2667000"/>
                    </a:xfrm>
                    <a:prstGeom prst="rect">
                      <a:avLst/>
                    </a:prstGeom>
                  </pic:spPr>
                </pic:pic>
              </a:graphicData>
            </a:graphic>
          </wp:inline>
        </w:drawing>
      </w:r>
    </w:p>
    <w:p w14:paraId="52C67CA9" w14:textId="77777777" w:rsidR="007E00E9" w:rsidRDefault="00000000">
      <w:pPr>
        <w:spacing w:before="40" w:after="160"/>
        <w:jc w:val="center"/>
      </w:pPr>
      <w:r>
        <w:rPr>
          <w:rFonts w:ascii="Calibri" w:eastAsia="Calibri" w:hAnsi="Calibri" w:cs="Calibri"/>
          <w:i/>
          <w:iCs/>
          <w:color w:val="4A4A6A"/>
          <w:sz w:val="18"/>
          <w:szCs w:val="18"/>
        </w:rPr>
        <w:t>Figure 11: KSE-100 Historical Simulation VaR and ES</w:t>
      </w:r>
    </w:p>
    <w:p w14:paraId="23A93FAE" w14:textId="77777777" w:rsidR="007E00E9" w:rsidRDefault="00000000">
      <w:pPr>
        <w:spacing w:before="80" w:after="40"/>
        <w:jc w:val="center"/>
      </w:pPr>
      <w:r>
        <w:rPr>
          <w:noProof/>
        </w:rPr>
        <w:lastRenderedPageBreak/>
        <w:drawing>
          <wp:inline distT="0" distB="0" distL="0" distR="0" wp14:anchorId="5B3495B6" wp14:editId="0B604036">
            <wp:extent cx="4762500" cy="2667000"/>
            <wp:effectExtent l="0" t="0" r="0" b="0"/>
            <wp:docPr id="183349142" name="Picture 183349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62500" cy="2667000"/>
                    </a:xfrm>
                    <a:prstGeom prst="rect">
                      <a:avLst/>
                    </a:prstGeom>
                  </pic:spPr>
                </pic:pic>
              </a:graphicData>
            </a:graphic>
          </wp:inline>
        </w:drawing>
      </w:r>
    </w:p>
    <w:p w14:paraId="2EFCB959" w14:textId="77777777" w:rsidR="007E00E9" w:rsidRDefault="00000000">
      <w:pPr>
        <w:spacing w:before="40" w:after="160"/>
        <w:jc w:val="center"/>
      </w:pPr>
      <w:r>
        <w:rPr>
          <w:rFonts w:ascii="Calibri" w:eastAsia="Calibri" w:hAnsi="Calibri" w:cs="Calibri"/>
          <w:i/>
          <w:iCs/>
          <w:color w:val="4A4A6A"/>
          <w:sz w:val="18"/>
          <w:szCs w:val="18"/>
        </w:rPr>
        <w:t>Figure 12: COMEX Gold Historical Simulation VaR and ES</w:t>
      </w:r>
    </w:p>
    <w:p w14:paraId="305F5B95" w14:textId="77777777" w:rsidR="007E00E9" w:rsidRDefault="00000000">
      <w:pPr>
        <w:pStyle w:val="Heading2"/>
        <w:spacing w:before="280"/>
      </w:pPr>
      <w:r>
        <w:t>5.5 Parametric vs Historical Simulation</w:t>
      </w:r>
    </w:p>
    <w:p w14:paraId="55492B35" w14:textId="77777777" w:rsidR="007E00E9" w:rsidRDefault="00000000">
      <w:pPr>
        <w:spacing w:before="80" w:after="40"/>
        <w:jc w:val="center"/>
      </w:pPr>
      <w:r>
        <w:rPr>
          <w:noProof/>
        </w:rPr>
        <w:drawing>
          <wp:inline distT="0" distB="0" distL="0" distR="0" wp14:anchorId="068C09F9" wp14:editId="45674B55">
            <wp:extent cx="4762500" cy="2571750"/>
            <wp:effectExtent l="0" t="0" r="0" b="0"/>
            <wp:docPr id="1934203497" name="Picture 1934203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2571750"/>
                    </a:xfrm>
                    <a:prstGeom prst="rect">
                      <a:avLst/>
                    </a:prstGeom>
                  </pic:spPr>
                </pic:pic>
              </a:graphicData>
            </a:graphic>
          </wp:inline>
        </w:drawing>
      </w:r>
    </w:p>
    <w:p w14:paraId="730B866A" w14:textId="77777777" w:rsidR="007E00E9" w:rsidRDefault="00000000">
      <w:pPr>
        <w:spacing w:before="40" w:after="160"/>
        <w:jc w:val="center"/>
      </w:pPr>
      <w:r>
        <w:rPr>
          <w:rFonts w:ascii="Calibri" w:eastAsia="Calibri" w:hAnsi="Calibri" w:cs="Calibri"/>
          <w:i/>
          <w:iCs/>
          <w:color w:val="4A4A6A"/>
          <w:sz w:val="18"/>
          <w:szCs w:val="18"/>
        </w:rPr>
        <w:t>Figure 13: KSE-100 — Parametric vs HS VaR</w:t>
      </w:r>
    </w:p>
    <w:p w14:paraId="1C307B82" w14:textId="77777777" w:rsidR="007E00E9" w:rsidRDefault="00000000">
      <w:pPr>
        <w:spacing w:before="80" w:after="40"/>
        <w:jc w:val="center"/>
      </w:pPr>
      <w:r>
        <w:rPr>
          <w:noProof/>
        </w:rPr>
        <w:drawing>
          <wp:inline distT="0" distB="0" distL="0" distR="0" wp14:anchorId="26C1C65C" wp14:editId="72E38006">
            <wp:extent cx="4762500" cy="2571750"/>
            <wp:effectExtent l="0" t="0" r="0" b="0"/>
            <wp:docPr id="976406153" name="Picture 976406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62500" cy="2571750"/>
                    </a:xfrm>
                    <a:prstGeom prst="rect">
                      <a:avLst/>
                    </a:prstGeom>
                  </pic:spPr>
                </pic:pic>
              </a:graphicData>
            </a:graphic>
          </wp:inline>
        </w:drawing>
      </w:r>
    </w:p>
    <w:p w14:paraId="0AFEEC64" w14:textId="77777777" w:rsidR="007E00E9" w:rsidRDefault="00000000">
      <w:pPr>
        <w:spacing w:before="40" w:after="160"/>
        <w:jc w:val="center"/>
      </w:pPr>
      <w:r>
        <w:rPr>
          <w:rFonts w:ascii="Calibri" w:eastAsia="Calibri" w:hAnsi="Calibri" w:cs="Calibri"/>
          <w:i/>
          <w:iCs/>
          <w:color w:val="4A4A6A"/>
          <w:sz w:val="18"/>
          <w:szCs w:val="18"/>
        </w:rPr>
        <w:t>Figure 14: COMEX Gold — Parametric vs HS VaR</w:t>
      </w:r>
    </w:p>
    <w:p w14:paraId="70BF7AB6" w14:textId="77777777" w:rsidR="007E00E9" w:rsidRDefault="00000000">
      <w:pPr>
        <w:spacing w:after="100"/>
        <w:jc w:val="both"/>
      </w:pPr>
      <w:r>
        <w:rPr>
          <w:rFonts w:ascii="Calibri" w:eastAsia="Calibri" w:hAnsi="Calibri" w:cs="Calibri"/>
          <w:color w:val="000000"/>
          <w:sz w:val="22"/>
          <w:szCs w:val="22"/>
        </w:rPr>
        <w:lastRenderedPageBreak/>
        <w:t>Figures 13 and 14 overlay the Parametric and HS VaR lines on the empirical return histograms, together with the fitted normal curve. The visual evidence is clear: the normal curve is too thin in both tails, and the Parametric 99% VaR line sits noticeably to the right of the HS 99% VaR line — confirming that the normal assumption systematically underestimates the depth of the true tail.</w:t>
      </w:r>
    </w:p>
    <w:p w14:paraId="7CD395C5" w14:textId="77777777" w:rsidR="007E00E9" w:rsidRDefault="00000000">
      <w:r>
        <w:br w:type="page"/>
      </w:r>
    </w:p>
    <w:p w14:paraId="5C2597EE" w14:textId="77777777" w:rsidR="007E00E9" w:rsidRDefault="00000000">
      <w:pPr>
        <w:pStyle w:val="Heading1"/>
        <w:pBdr>
          <w:bottom w:val="single" w:sz="6" w:space="0" w:color="2C7BB6"/>
        </w:pBdr>
      </w:pPr>
      <w:r>
        <w:lastRenderedPageBreak/>
        <w:t>6. Backtesting Results</w:t>
      </w:r>
    </w:p>
    <w:p w14:paraId="29427EEC" w14:textId="77777777" w:rsidR="007E00E9" w:rsidRDefault="00000000">
      <w:pPr>
        <w:pStyle w:val="Heading2"/>
        <w:spacing w:before="280"/>
      </w:pPr>
      <w:r>
        <w:t>6.1 Rolling VaR</w:t>
      </w:r>
    </w:p>
    <w:p w14:paraId="770BE811" w14:textId="77777777" w:rsidR="007E00E9" w:rsidRDefault="00000000">
      <w:pPr>
        <w:spacing w:before="80" w:after="40"/>
        <w:jc w:val="center"/>
      </w:pPr>
      <w:r>
        <w:rPr>
          <w:noProof/>
        </w:rPr>
        <w:drawing>
          <wp:inline distT="0" distB="0" distL="0" distR="0" wp14:anchorId="1CB366C2" wp14:editId="2979EEA1">
            <wp:extent cx="5524500" cy="2190750"/>
            <wp:effectExtent l="0" t="0" r="0" b="0"/>
            <wp:docPr id="581442930" name="Picture 581442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24500" cy="2190750"/>
                    </a:xfrm>
                    <a:prstGeom prst="rect">
                      <a:avLst/>
                    </a:prstGeom>
                  </pic:spPr>
                </pic:pic>
              </a:graphicData>
            </a:graphic>
          </wp:inline>
        </w:drawing>
      </w:r>
    </w:p>
    <w:p w14:paraId="1ED2C731" w14:textId="77777777" w:rsidR="007E00E9" w:rsidRDefault="00000000">
      <w:pPr>
        <w:spacing w:before="40" w:after="160"/>
        <w:jc w:val="center"/>
      </w:pPr>
      <w:r>
        <w:rPr>
          <w:rFonts w:ascii="Calibri" w:eastAsia="Calibri" w:hAnsi="Calibri" w:cs="Calibri"/>
          <w:i/>
          <w:iCs/>
          <w:color w:val="4A4A6A"/>
          <w:sz w:val="18"/>
          <w:szCs w:val="18"/>
        </w:rPr>
        <w:t>Figure 15: KSE-100 Rolling 250-Day Historical Simulation VaR</w:t>
      </w:r>
    </w:p>
    <w:p w14:paraId="173075C0" w14:textId="77777777" w:rsidR="007E00E9" w:rsidRDefault="00000000">
      <w:pPr>
        <w:spacing w:before="80" w:after="40"/>
        <w:jc w:val="center"/>
      </w:pPr>
      <w:r>
        <w:rPr>
          <w:noProof/>
        </w:rPr>
        <w:drawing>
          <wp:inline distT="0" distB="0" distL="0" distR="0" wp14:anchorId="45C45B46" wp14:editId="18EE5C88">
            <wp:extent cx="5524500" cy="2190750"/>
            <wp:effectExtent l="0" t="0" r="0" b="0"/>
            <wp:docPr id="585630145" name="Picture 585630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24500" cy="2190750"/>
                    </a:xfrm>
                    <a:prstGeom prst="rect">
                      <a:avLst/>
                    </a:prstGeom>
                  </pic:spPr>
                </pic:pic>
              </a:graphicData>
            </a:graphic>
          </wp:inline>
        </w:drawing>
      </w:r>
    </w:p>
    <w:p w14:paraId="3921FD26" w14:textId="77777777" w:rsidR="007E00E9" w:rsidRDefault="00000000">
      <w:pPr>
        <w:spacing w:before="40" w:after="160"/>
        <w:jc w:val="center"/>
      </w:pPr>
      <w:r>
        <w:rPr>
          <w:rFonts w:ascii="Calibri" w:eastAsia="Calibri" w:hAnsi="Calibri" w:cs="Calibri"/>
          <w:i/>
          <w:iCs/>
          <w:color w:val="4A4A6A"/>
          <w:sz w:val="18"/>
          <w:szCs w:val="18"/>
        </w:rPr>
        <w:t>Figure 16: COMEX Gold Rolling 250-Day Historical Simulation VaR</w:t>
      </w:r>
    </w:p>
    <w:p w14:paraId="67F96FB2" w14:textId="77777777" w:rsidR="007E00E9" w:rsidRDefault="00000000">
      <w:pPr>
        <w:spacing w:after="100"/>
        <w:jc w:val="both"/>
        <w:rPr>
          <w:rFonts w:ascii="Calibri" w:eastAsia="Calibri" w:hAnsi="Calibri" w:cs="Calibri"/>
          <w:color w:val="000000"/>
          <w:sz w:val="22"/>
          <w:szCs w:val="22"/>
        </w:rPr>
      </w:pPr>
      <w:r>
        <w:rPr>
          <w:rFonts w:ascii="Calibri" w:eastAsia="Calibri" w:hAnsi="Calibri" w:cs="Calibri"/>
          <w:color w:val="000000"/>
          <w:sz w:val="22"/>
          <w:szCs w:val="22"/>
        </w:rPr>
        <w:t>Figures 15 and 16 show the 250-day rolling Historical Simulation VaR overlaid on the return series. The rolling VaR responds to the changing risk environment but with a characteristic lag — it drops sharply after COVID-19 as extreme losses enter the rolling window, then gradually recovers as those observations age out. This illustrates the fundamental limitation of backward-looking risk models: they adapt to new volatility regimes slowly and symmetrically.</w:t>
      </w:r>
    </w:p>
    <w:p w14:paraId="4E902E27" w14:textId="77777777" w:rsidR="00A4543C" w:rsidRDefault="00A4543C">
      <w:pPr>
        <w:spacing w:after="100"/>
        <w:jc w:val="both"/>
        <w:rPr>
          <w:rFonts w:ascii="Calibri" w:eastAsia="Calibri" w:hAnsi="Calibri" w:cs="Calibri"/>
          <w:color w:val="000000"/>
          <w:sz w:val="22"/>
          <w:szCs w:val="22"/>
        </w:rPr>
      </w:pPr>
    </w:p>
    <w:p w14:paraId="2DACA106" w14:textId="77777777" w:rsidR="00A4543C" w:rsidRDefault="00A4543C">
      <w:pPr>
        <w:spacing w:after="100"/>
        <w:jc w:val="both"/>
        <w:rPr>
          <w:rFonts w:ascii="Calibri" w:eastAsia="Calibri" w:hAnsi="Calibri" w:cs="Calibri"/>
          <w:color w:val="000000"/>
          <w:sz w:val="22"/>
          <w:szCs w:val="22"/>
        </w:rPr>
      </w:pPr>
    </w:p>
    <w:p w14:paraId="67A05E3D" w14:textId="77777777" w:rsidR="00A4543C" w:rsidRDefault="00A4543C">
      <w:pPr>
        <w:spacing w:after="100"/>
        <w:jc w:val="both"/>
        <w:rPr>
          <w:rFonts w:ascii="Calibri" w:eastAsia="Calibri" w:hAnsi="Calibri" w:cs="Calibri"/>
          <w:color w:val="000000"/>
          <w:sz w:val="22"/>
          <w:szCs w:val="22"/>
        </w:rPr>
      </w:pPr>
    </w:p>
    <w:p w14:paraId="1AA63ED2" w14:textId="77777777" w:rsidR="00A4543C" w:rsidRDefault="00A4543C">
      <w:pPr>
        <w:spacing w:after="100"/>
        <w:jc w:val="both"/>
        <w:rPr>
          <w:rFonts w:ascii="Calibri" w:eastAsia="Calibri" w:hAnsi="Calibri" w:cs="Calibri"/>
          <w:color w:val="000000"/>
          <w:sz w:val="22"/>
          <w:szCs w:val="22"/>
        </w:rPr>
      </w:pPr>
    </w:p>
    <w:p w14:paraId="74968A58" w14:textId="77777777" w:rsidR="00A4543C" w:rsidRDefault="00A4543C">
      <w:pPr>
        <w:spacing w:after="100"/>
        <w:jc w:val="both"/>
        <w:rPr>
          <w:rFonts w:ascii="Calibri" w:eastAsia="Calibri" w:hAnsi="Calibri" w:cs="Calibri"/>
          <w:color w:val="000000"/>
          <w:sz w:val="22"/>
          <w:szCs w:val="22"/>
        </w:rPr>
      </w:pPr>
    </w:p>
    <w:p w14:paraId="797802FD" w14:textId="77777777" w:rsidR="00A4543C" w:rsidRDefault="00A4543C">
      <w:pPr>
        <w:spacing w:after="100"/>
        <w:jc w:val="both"/>
        <w:rPr>
          <w:rFonts w:ascii="Calibri" w:eastAsia="Calibri" w:hAnsi="Calibri" w:cs="Calibri"/>
          <w:color w:val="000000"/>
          <w:sz w:val="22"/>
          <w:szCs w:val="22"/>
        </w:rPr>
      </w:pPr>
    </w:p>
    <w:p w14:paraId="011CA86E" w14:textId="77777777" w:rsidR="00A4543C" w:rsidRDefault="00A4543C">
      <w:pPr>
        <w:spacing w:after="100"/>
        <w:jc w:val="both"/>
        <w:rPr>
          <w:rFonts w:ascii="Calibri" w:eastAsia="Calibri" w:hAnsi="Calibri" w:cs="Calibri"/>
          <w:color w:val="000000"/>
          <w:sz w:val="22"/>
          <w:szCs w:val="22"/>
        </w:rPr>
      </w:pPr>
    </w:p>
    <w:p w14:paraId="26345827" w14:textId="77777777" w:rsidR="00A4543C" w:rsidRDefault="00A4543C">
      <w:pPr>
        <w:spacing w:after="100"/>
        <w:jc w:val="both"/>
        <w:rPr>
          <w:rFonts w:ascii="Calibri" w:eastAsia="Calibri" w:hAnsi="Calibri" w:cs="Calibri"/>
          <w:color w:val="000000"/>
          <w:sz w:val="22"/>
          <w:szCs w:val="22"/>
        </w:rPr>
      </w:pPr>
    </w:p>
    <w:p w14:paraId="7EA35674" w14:textId="77777777" w:rsidR="00A4543C" w:rsidRDefault="00A4543C">
      <w:pPr>
        <w:spacing w:after="100"/>
        <w:jc w:val="both"/>
      </w:pPr>
    </w:p>
    <w:p w14:paraId="673EF826" w14:textId="77777777" w:rsidR="007E00E9" w:rsidRDefault="00000000">
      <w:pPr>
        <w:pStyle w:val="Heading2"/>
        <w:spacing w:before="280"/>
      </w:pPr>
      <w:r>
        <w:lastRenderedPageBreak/>
        <w:t>6.2 VaR Breach Plots</w:t>
      </w:r>
    </w:p>
    <w:p w14:paraId="75C2A6A3" w14:textId="77777777" w:rsidR="007E00E9" w:rsidRDefault="00000000">
      <w:pPr>
        <w:spacing w:before="80" w:after="40"/>
        <w:jc w:val="center"/>
      </w:pPr>
      <w:r>
        <w:rPr>
          <w:noProof/>
        </w:rPr>
        <w:drawing>
          <wp:inline distT="0" distB="0" distL="0" distR="0" wp14:anchorId="0B60878E" wp14:editId="113D0444">
            <wp:extent cx="5524500" cy="2190750"/>
            <wp:effectExtent l="0" t="0" r="0" b="0"/>
            <wp:docPr id="1768949578" name="Picture 1768949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524500" cy="2190750"/>
                    </a:xfrm>
                    <a:prstGeom prst="rect">
                      <a:avLst/>
                    </a:prstGeom>
                  </pic:spPr>
                </pic:pic>
              </a:graphicData>
            </a:graphic>
          </wp:inline>
        </w:drawing>
      </w:r>
    </w:p>
    <w:p w14:paraId="477FBD71" w14:textId="77777777" w:rsidR="007E00E9" w:rsidRDefault="00000000">
      <w:pPr>
        <w:spacing w:before="40" w:after="160"/>
        <w:jc w:val="center"/>
      </w:pPr>
      <w:r>
        <w:rPr>
          <w:rFonts w:ascii="Calibri" w:eastAsia="Calibri" w:hAnsi="Calibri" w:cs="Calibri"/>
          <w:i/>
          <w:iCs/>
          <w:color w:val="4A4A6A"/>
          <w:sz w:val="18"/>
          <w:szCs w:val="18"/>
        </w:rPr>
        <w:t>Figure 17: KSE-100 VaR Breach Plot (HS 99%)</w:t>
      </w:r>
    </w:p>
    <w:p w14:paraId="0A936634" w14:textId="77777777" w:rsidR="007E00E9" w:rsidRDefault="00000000">
      <w:pPr>
        <w:spacing w:before="80" w:after="40"/>
        <w:jc w:val="center"/>
      </w:pPr>
      <w:r>
        <w:rPr>
          <w:noProof/>
        </w:rPr>
        <w:drawing>
          <wp:inline distT="0" distB="0" distL="0" distR="0" wp14:anchorId="6CD96896" wp14:editId="6B8E320F">
            <wp:extent cx="5524500" cy="2190750"/>
            <wp:effectExtent l="0" t="0" r="0" b="0"/>
            <wp:docPr id="950669666" name="Picture 950669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24500" cy="2190750"/>
                    </a:xfrm>
                    <a:prstGeom prst="rect">
                      <a:avLst/>
                    </a:prstGeom>
                  </pic:spPr>
                </pic:pic>
              </a:graphicData>
            </a:graphic>
          </wp:inline>
        </w:drawing>
      </w:r>
    </w:p>
    <w:p w14:paraId="53C49DAD" w14:textId="77777777" w:rsidR="007E00E9" w:rsidRDefault="00000000">
      <w:pPr>
        <w:spacing w:before="40" w:after="160"/>
        <w:jc w:val="center"/>
      </w:pPr>
      <w:r>
        <w:rPr>
          <w:rFonts w:ascii="Calibri" w:eastAsia="Calibri" w:hAnsi="Calibri" w:cs="Calibri"/>
          <w:i/>
          <w:iCs/>
          <w:color w:val="4A4A6A"/>
          <w:sz w:val="18"/>
          <w:szCs w:val="18"/>
        </w:rPr>
        <w:t>Figure 18: COMEX Gold VaR Breach Plot (HS 99%)</w:t>
      </w:r>
    </w:p>
    <w:p w14:paraId="38E1C5F2" w14:textId="77777777" w:rsidR="007E00E9" w:rsidRDefault="00000000">
      <w:pPr>
        <w:spacing w:after="100"/>
        <w:jc w:val="both"/>
      </w:pPr>
      <w:r>
        <w:rPr>
          <w:rFonts w:ascii="Calibri" w:eastAsia="Calibri" w:hAnsi="Calibri" w:cs="Calibri"/>
          <w:color w:val="000000"/>
          <w:sz w:val="22"/>
          <w:szCs w:val="22"/>
        </w:rPr>
        <w:t>Figures 17 and 18 mark each VaR breach day (red dots) against the return series and the 99% HS VaR threshold. For KSE-100, 35 breach days are visible, and even visual inspection reveals that breaches are not uniformly distributed over time — they concentrate around 2015, 2018, and 2020. For COMEX Gold, 35 breach days are also recorded, with notable clusters in 2010-2011, 2013, and 2020. This visual breach clustering is precisely what the Christoffersen independence test formalises.</w:t>
      </w:r>
    </w:p>
    <w:p w14:paraId="4873B56C" w14:textId="77777777" w:rsidR="007E00E9" w:rsidRDefault="00000000">
      <w:pPr>
        <w:pStyle w:val="Heading2"/>
        <w:spacing w:before="280"/>
      </w:pPr>
      <w:r>
        <w:t>6.3 Kupiec POF Results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74"/>
        <w:gridCol w:w="1244"/>
        <w:gridCol w:w="905"/>
        <w:gridCol w:w="905"/>
        <w:gridCol w:w="905"/>
        <w:gridCol w:w="1018"/>
        <w:gridCol w:w="1018"/>
        <w:gridCol w:w="1131"/>
      </w:tblGrid>
      <w:tr w:rsidR="007E00E9" w14:paraId="451EA76E" w14:textId="77777777">
        <w:tblPrEx>
          <w:tblCellMar>
            <w:top w:w="0" w:type="dxa"/>
            <w:bottom w:w="0" w:type="dxa"/>
          </w:tblCellMar>
        </w:tblPrEx>
        <w:tc>
          <w:tcPr>
            <w:tcW w:w="2100" w:type="dxa"/>
            <w:shd w:val="clear" w:color="auto" w:fill="2C7BB6"/>
            <w:vAlign w:val="center"/>
          </w:tcPr>
          <w:p w14:paraId="1A03C847" w14:textId="77777777" w:rsidR="007E00E9" w:rsidRDefault="00000000">
            <w:pPr>
              <w:spacing w:before="80" w:after="80"/>
              <w:jc w:val="center"/>
            </w:pPr>
            <w:r>
              <w:rPr>
                <w:rFonts w:ascii="Calibri" w:eastAsia="Calibri" w:hAnsi="Calibri" w:cs="Calibri"/>
                <w:b/>
                <w:bCs/>
                <w:color w:val="FFFFFF"/>
                <w:sz w:val="19"/>
                <w:szCs w:val="19"/>
              </w:rPr>
              <w:t>Method</w:t>
            </w:r>
          </w:p>
        </w:tc>
        <w:tc>
          <w:tcPr>
            <w:tcW w:w="1100" w:type="dxa"/>
            <w:shd w:val="clear" w:color="auto" w:fill="2C7BB6"/>
            <w:vAlign w:val="center"/>
          </w:tcPr>
          <w:p w14:paraId="1E270FAE" w14:textId="77777777" w:rsidR="007E00E9" w:rsidRDefault="00000000">
            <w:pPr>
              <w:spacing w:before="80" w:after="80"/>
              <w:jc w:val="center"/>
            </w:pPr>
            <w:r>
              <w:rPr>
                <w:rFonts w:ascii="Calibri" w:eastAsia="Calibri" w:hAnsi="Calibri" w:cs="Calibri"/>
                <w:b/>
                <w:bCs/>
                <w:color w:val="FFFFFF"/>
                <w:sz w:val="19"/>
                <w:szCs w:val="19"/>
              </w:rPr>
              <w:t>Asset</w:t>
            </w:r>
          </w:p>
        </w:tc>
        <w:tc>
          <w:tcPr>
            <w:tcW w:w="800" w:type="dxa"/>
            <w:shd w:val="clear" w:color="auto" w:fill="2C7BB6"/>
            <w:vAlign w:val="center"/>
          </w:tcPr>
          <w:p w14:paraId="5B914F6A" w14:textId="77777777" w:rsidR="007E00E9" w:rsidRDefault="00000000">
            <w:pPr>
              <w:spacing w:before="80" w:after="80"/>
              <w:jc w:val="center"/>
            </w:pPr>
            <w:r>
              <w:rPr>
                <w:rFonts w:ascii="Calibri" w:eastAsia="Calibri" w:hAnsi="Calibri" w:cs="Calibri"/>
                <w:b/>
                <w:bCs/>
                <w:color w:val="FFFFFF"/>
                <w:sz w:val="19"/>
                <w:szCs w:val="19"/>
              </w:rPr>
              <w:t>Conf.</w:t>
            </w:r>
          </w:p>
        </w:tc>
        <w:tc>
          <w:tcPr>
            <w:tcW w:w="800" w:type="dxa"/>
            <w:shd w:val="clear" w:color="auto" w:fill="2C7BB6"/>
            <w:vAlign w:val="center"/>
          </w:tcPr>
          <w:p w14:paraId="70A0811A" w14:textId="77777777" w:rsidR="007E00E9" w:rsidRDefault="00000000">
            <w:pPr>
              <w:spacing w:before="80" w:after="80"/>
              <w:jc w:val="center"/>
            </w:pPr>
            <w:r>
              <w:rPr>
                <w:rFonts w:ascii="Calibri" w:eastAsia="Calibri" w:hAnsi="Calibri" w:cs="Calibri"/>
                <w:b/>
                <w:bCs/>
                <w:color w:val="FFFFFF"/>
                <w:sz w:val="19"/>
                <w:szCs w:val="19"/>
              </w:rPr>
              <w:t>Breaches</w:t>
            </w:r>
          </w:p>
        </w:tc>
        <w:tc>
          <w:tcPr>
            <w:tcW w:w="800" w:type="dxa"/>
            <w:shd w:val="clear" w:color="auto" w:fill="2C7BB6"/>
            <w:vAlign w:val="center"/>
          </w:tcPr>
          <w:p w14:paraId="5885BC5A" w14:textId="77777777" w:rsidR="007E00E9" w:rsidRDefault="00000000">
            <w:pPr>
              <w:spacing w:before="80" w:after="80"/>
              <w:jc w:val="center"/>
            </w:pPr>
            <w:r>
              <w:rPr>
                <w:rFonts w:ascii="Calibri" w:eastAsia="Calibri" w:hAnsi="Calibri" w:cs="Calibri"/>
                <w:b/>
                <w:bCs/>
                <w:color w:val="FFFFFF"/>
                <w:sz w:val="19"/>
                <w:szCs w:val="19"/>
              </w:rPr>
              <w:t>Expected</w:t>
            </w:r>
          </w:p>
        </w:tc>
        <w:tc>
          <w:tcPr>
            <w:tcW w:w="900" w:type="dxa"/>
            <w:shd w:val="clear" w:color="auto" w:fill="2C7BB6"/>
            <w:vAlign w:val="center"/>
          </w:tcPr>
          <w:p w14:paraId="1D97B6EB" w14:textId="77777777" w:rsidR="007E00E9" w:rsidRDefault="00000000">
            <w:pPr>
              <w:spacing w:before="80" w:after="80"/>
              <w:jc w:val="center"/>
            </w:pPr>
            <w:r>
              <w:rPr>
                <w:rFonts w:ascii="Calibri" w:eastAsia="Calibri" w:hAnsi="Calibri" w:cs="Calibri"/>
                <w:b/>
                <w:bCs/>
                <w:color w:val="FFFFFF"/>
                <w:sz w:val="19"/>
                <w:szCs w:val="19"/>
              </w:rPr>
              <w:t>Fail Rate</w:t>
            </w:r>
          </w:p>
        </w:tc>
        <w:tc>
          <w:tcPr>
            <w:tcW w:w="900" w:type="dxa"/>
            <w:shd w:val="clear" w:color="auto" w:fill="2C7BB6"/>
            <w:vAlign w:val="center"/>
          </w:tcPr>
          <w:p w14:paraId="60511043" w14:textId="77777777" w:rsidR="007E00E9" w:rsidRDefault="00000000">
            <w:pPr>
              <w:spacing w:before="80" w:after="80"/>
              <w:jc w:val="center"/>
            </w:pPr>
            <w:r>
              <w:rPr>
                <w:rFonts w:ascii="Calibri" w:eastAsia="Calibri" w:hAnsi="Calibri" w:cs="Calibri"/>
                <w:b/>
                <w:bCs/>
                <w:color w:val="FFFFFF"/>
                <w:sz w:val="19"/>
                <w:szCs w:val="19"/>
              </w:rPr>
              <w:t>p-value</w:t>
            </w:r>
          </w:p>
        </w:tc>
        <w:tc>
          <w:tcPr>
            <w:tcW w:w="1000" w:type="dxa"/>
            <w:shd w:val="clear" w:color="auto" w:fill="2C7BB6"/>
            <w:vAlign w:val="center"/>
          </w:tcPr>
          <w:p w14:paraId="20E9D1B4" w14:textId="77777777" w:rsidR="007E00E9" w:rsidRDefault="00000000">
            <w:pPr>
              <w:spacing w:before="80" w:after="80"/>
              <w:jc w:val="center"/>
            </w:pPr>
            <w:r>
              <w:rPr>
                <w:rFonts w:ascii="Calibri" w:eastAsia="Calibri" w:hAnsi="Calibri" w:cs="Calibri"/>
                <w:b/>
                <w:bCs/>
                <w:color w:val="FFFFFF"/>
                <w:sz w:val="19"/>
                <w:szCs w:val="19"/>
              </w:rPr>
              <w:t>Result</w:t>
            </w:r>
          </w:p>
        </w:tc>
      </w:tr>
      <w:tr w:rsidR="007E00E9" w14:paraId="4169ABE8" w14:textId="77777777">
        <w:tblPrEx>
          <w:tblCellMar>
            <w:top w:w="0" w:type="dxa"/>
            <w:bottom w:w="0" w:type="dxa"/>
          </w:tblCellMar>
        </w:tblPrEx>
        <w:tc>
          <w:tcPr>
            <w:tcW w:w="2100" w:type="dxa"/>
            <w:shd w:val="clear" w:color="auto" w:fill="F2F2F2"/>
            <w:vAlign w:val="center"/>
          </w:tcPr>
          <w:p w14:paraId="4409F3EA" w14:textId="77777777" w:rsidR="007E00E9" w:rsidRDefault="00000000">
            <w:pPr>
              <w:spacing w:before="60" w:after="60"/>
            </w:pPr>
            <w:r>
              <w:rPr>
                <w:rFonts w:ascii="Calibri" w:eastAsia="Calibri" w:hAnsi="Calibri" w:cs="Calibri"/>
                <w:color w:val="000000"/>
                <w:sz w:val="19"/>
                <w:szCs w:val="19"/>
              </w:rPr>
              <w:t>Historical Simulation</w:t>
            </w:r>
          </w:p>
        </w:tc>
        <w:tc>
          <w:tcPr>
            <w:tcW w:w="1100" w:type="dxa"/>
            <w:shd w:val="clear" w:color="auto" w:fill="F2F2F2"/>
            <w:vAlign w:val="center"/>
          </w:tcPr>
          <w:p w14:paraId="4CDF2063" w14:textId="77777777" w:rsidR="007E00E9" w:rsidRDefault="00000000">
            <w:pPr>
              <w:spacing w:before="60" w:after="60"/>
              <w:jc w:val="center"/>
            </w:pPr>
            <w:r>
              <w:rPr>
                <w:rFonts w:ascii="Calibri" w:eastAsia="Calibri" w:hAnsi="Calibri" w:cs="Calibri"/>
                <w:color w:val="000000"/>
                <w:sz w:val="19"/>
                <w:szCs w:val="19"/>
              </w:rPr>
              <w:t>KSE-100</w:t>
            </w:r>
          </w:p>
        </w:tc>
        <w:tc>
          <w:tcPr>
            <w:tcW w:w="800" w:type="dxa"/>
            <w:shd w:val="clear" w:color="auto" w:fill="F2F2F2"/>
            <w:vAlign w:val="center"/>
          </w:tcPr>
          <w:p w14:paraId="26EA61A3" w14:textId="77777777" w:rsidR="007E00E9" w:rsidRDefault="00000000">
            <w:pPr>
              <w:spacing w:before="60" w:after="60"/>
              <w:jc w:val="center"/>
            </w:pPr>
            <w:r>
              <w:rPr>
                <w:rFonts w:ascii="Calibri" w:eastAsia="Calibri" w:hAnsi="Calibri" w:cs="Calibri"/>
                <w:color w:val="000000"/>
                <w:sz w:val="19"/>
                <w:szCs w:val="19"/>
              </w:rPr>
              <w:t>95%</w:t>
            </w:r>
          </w:p>
        </w:tc>
        <w:tc>
          <w:tcPr>
            <w:tcW w:w="800" w:type="dxa"/>
            <w:shd w:val="clear" w:color="auto" w:fill="F2F2F2"/>
            <w:vAlign w:val="center"/>
          </w:tcPr>
          <w:p w14:paraId="08B084BB" w14:textId="77777777" w:rsidR="007E00E9" w:rsidRDefault="00000000">
            <w:pPr>
              <w:spacing w:before="60" w:after="60"/>
              <w:jc w:val="center"/>
            </w:pPr>
            <w:r>
              <w:rPr>
                <w:rFonts w:ascii="Calibri" w:eastAsia="Calibri" w:hAnsi="Calibri" w:cs="Calibri"/>
                <w:color w:val="000000"/>
                <w:sz w:val="19"/>
                <w:szCs w:val="19"/>
              </w:rPr>
              <w:t>175</w:t>
            </w:r>
          </w:p>
        </w:tc>
        <w:tc>
          <w:tcPr>
            <w:tcW w:w="800" w:type="dxa"/>
            <w:shd w:val="clear" w:color="auto" w:fill="F2F2F2"/>
            <w:vAlign w:val="center"/>
          </w:tcPr>
          <w:p w14:paraId="76E0BD97" w14:textId="77777777" w:rsidR="007E00E9" w:rsidRDefault="00000000">
            <w:pPr>
              <w:spacing w:before="60" w:after="60"/>
              <w:jc w:val="center"/>
            </w:pPr>
            <w:r>
              <w:rPr>
                <w:rFonts w:ascii="Calibri" w:eastAsia="Calibri" w:hAnsi="Calibri" w:cs="Calibri"/>
                <w:color w:val="000000"/>
                <w:sz w:val="19"/>
                <w:szCs w:val="19"/>
              </w:rPr>
              <w:t>174.4</w:t>
            </w:r>
          </w:p>
        </w:tc>
        <w:tc>
          <w:tcPr>
            <w:tcW w:w="900" w:type="dxa"/>
            <w:shd w:val="clear" w:color="auto" w:fill="F2F2F2"/>
            <w:vAlign w:val="center"/>
          </w:tcPr>
          <w:p w14:paraId="26D64AE2" w14:textId="77777777" w:rsidR="007E00E9" w:rsidRDefault="00000000">
            <w:pPr>
              <w:spacing w:before="60" w:after="60"/>
              <w:jc w:val="center"/>
            </w:pPr>
            <w:r>
              <w:rPr>
                <w:rFonts w:ascii="Calibri" w:eastAsia="Calibri" w:hAnsi="Calibri" w:cs="Calibri"/>
                <w:color w:val="000000"/>
                <w:sz w:val="19"/>
                <w:szCs w:val="19"/>
              </w:rPr>
              <w:t>5.02%</w:t>
            </w:r>
          </w:p>
        </w:tc>
        <w:tc>
          <w:tcPr>
            <w:tcW w:w="900" w:type="dxa"/>
            <w:shd w:val="clear" w:color="auto" w:fill="F2F2F2"/>
            <w:vAlign w:val="center"/>
          </w:tcPr>
          <w:p w14:paraId="060391DA" w14:textId="77777777" w:rsidR="007E00E9" w:rsidRDefault="00000000">
            <w:pPr>
              <w:spacing w:before="60" w:after="60"/>
              <w:jc w:val="center"/>
            </w:pPr>
            <w:r>
              <w:rPr>
                <w:rFonts w:ascii="Calibri" w:eastAsia="Calibri" w:hAnsi="Calibri" w:cs="Calibri"/>
                <w:color w:val="000000"/>
                <w:sz w:val="19"/>
                <w:szCs w:val="19"/>
              </w:rPr>
              <w:t>0.9597</w:t>
            </w:r>
          </w:p>
        </w:tc>
        <w:tc>
          <w:tcPr>
            <w:tcW w:w="1000" w:type="dxa"/>
            <w:shd w:val="clear" w:color="auto" w:fill="F2F2F2"/>
            <w:vAlign w:val="center"/>
          </w:tcPr>
          <w:p w14:paraId="51FF1230" w14:textId="77777777" w:rsidR="007E00E9" w:rsidRDefault="00000000">
            <w:pPr>
              <w:spacing w:before="60" w:after="60"/>
              <w:jc w:val="center"/>
            </w:pPr>
            <w:r>
              <w:rPr>
                <w:rFonts w:ascii="Calibri" w:eastAsia="Calibri" w:hAnsi="Calibri" w:cs="Calibri"/>
                <w:b/>
                <w:bCs/>
                <w:color w:val="007A4D"/>
                <w:sz w:val="19"/>
                <w:szCs w:val="19"/>
              </w:rPr>
              <w:t>PASS</w:t>
            </w:r>
          </w:p>
        </w:tc>
      </w:tr>
      <w:tr w:rsidR="007E00E9" w14:paraId="5BB31DBB" w14:textId="77777777">
        <w:tblPrEx>
          <w:tblCellMar>
            <w:top w:w="0" w:type="dxa"/>
            <w:bottom w:w="0" w:type="dxa"/>
          </w:tblCellMar>
        </w:tblPrEx>
        <w:tc>
          <w:tcPr>
            <w:tcW w:w="2100" w:type="dxa"/>
            <w:shd w:val="clear" w:color="auto" w:fill="FFFFFF"/>
            <w:vAlign w:val="center"/>
          </w:tcPr>
          <w:p w14:paraId="0DF4AF69" w14:textId="77777777" w:rsidR="007E00E9" w:rsidRDefault="00000000">
            <w:pPr>
              <w:spacing w:before="60" w:after="60"/>
            </w:pPr>
            <w:r>
              <w:rPr>
                <w:rFonts w:ascii="Calibri" w:eastAsia="Calibri" w:hAnsi="Calibri" w:cs="Calibri"/>
                <w:color w:val="000000"/>
                <w:sz w:val="19"/>
                <w:szCs w:val="19"/>
              </w:rPr>
              <w:t>Historical Simulation</w:t>
            </w:r>
          </w:p>
        </w:tc>
        <w:tc>
          <w:tcPr>
            <w:tcW w:w="1100" w:type="dxa"/>
            <w:shd w:val="clear" w:color="auto" w:fill="FFFFFF"/>
            <w:vAlign w:val="center"/>
          </w:tcPr>
          <w:p w14:paraId="7EFA1799" w14:textId="77777777" w:rsidR="007E00E9" w:rsidRDefault="00000000">
            <w:pPr>
              <w:spacing w:before="60" w:after="60"/>
              <w:jc w:val="center"/>
            </w:pPr>
            <w:r>
              <w:rPr>
                <w:rFonts w:ascii="Calibri" w:eastAsia="Calibri" w:hAnsi="Calibri" w:cs="Calibri"/>
                <w:color w:val="000000"/>
                <w:sz w:val="19"/>
                <w:szCs w:val="19"/>
              </w:rPr>
              <w:t>KSE-100</w:t>
            </w:r>
          </w:p>
        </w:tc>
        <w:tc>
          <w:tcPr>
            <w:tcW w:w="800" w:type="dxa"/>
            <w:shd w:val="clear" w:color="auto" w:fill="FFFFFF"/>
            <w:vAlign w:val="center"/>
          </w:tcPr>
          <w:p w14:paraId="5B683B39" w14:textId="77777777" w:rsidR="007E00E9" w:rsidRDefault="00000000">
            <w:pPr>
              <w:spacing w:before="60" w:after="60"/>
              <w:jc w:val="center"/>
            </w:pPr>
            <w:r>
              <w:rPr>
                <w:rFonts w:ascii="Calibri" w:eastAsia="Calibri" w:hAnsi="Calibri" w:cs="Calibri"/>
                <w:color w:val="000000"/>
                <w:sz w:val="19"/>
                <w:szCs w:val="19"/>
              </w:rPr>
              <w:t>99%</w:t>
            </w:r>
          </w:p>
        </w:tc>
        <w:tc>
          <w:tcPr>
            <w:tcW w:w="800" w:type="dxa"/>
            <w:shd w:val="clear" w:color="auto" w:fill="FFFFFF"/>
            <w:vAlign w:val="center"/>
          </w:tcPr>
          <w:p w14:paraId="48B4D040" w14:textId="77777777" w:rsidR="007E00E9" w:rsidRDefault="00000000">
            <w:pPr>
              <w:spacing w:before="60" w:after="60"/>
              <w:jc w:val="center"/>
            </w:pPr>
            <w:r>
              <w:rPr>
                <w:rFonts w:ascii="Calibri" w:eastAsia="Calibri" w:hAnsi="Calibri" w:cs="Calibri"/>
                <w:color w:val="000000"/>
                <w:sz w:val="19"/>
                <w:szCs w:val="19"/>
              </w:rPr>
              <w:t>35</w:t>
            </w:r>
          </w:p>
        </w:tc>
        <w:tc>
          <w:tcPr>
            <w:tcW w:w="800" w:type="dxa"/>
            <w:shd w:val="clear" w:color="auto" w:fill="FFFFFF"/>
            <w:vAlign w:val="center"/>
          </w:tcPr>
          <w:p w14:paraId="5BA5F938" w14:textId="77777777" w:rsidR="007E00E9" w:rsidRDefault="00000000">
            <w:pPr>
              <w:spacing w:before="60" w:after="60"/>
              <w:jc w:val="center"/>
            </w:pPr>
            <w:r>
              <w:rPr>
                <w:rFonts w:ascii="Calibri" w:eastAsia="Calibri" w:hAnsi="Calibri" w:cs="Calibri"/>
                <w:color w:val="000000"/>
                <w:sz w:val="19"/>
                <w:szCs w:val="19"/>
              </w:rPr>
              <w:t>34.9</w:t>
            </w:r>
          </w:p>
        </w:tc>
        <w:tc>
          <w:tcPr>
            <w:tcW w:w="900" w:type="dxa"/>
            <w:shd w:val="clear" w:color="auto" w:fill="FFFFFF"/>
            <w:vAlign w:val="center"/>
          </w:tcPr>
          <w:p w14:paraId="0956CE9C" w14:textId="77777777" w:rsidR="007E00E9" w:rsidRDefault="00000000">
            <w:pPr>
              <w:spacing w:before="60" w:after="60"/>
              <w:jc w:val="center"/>
            </w:pPr>
            <w:r>
              <w:rPr>
                <w:rFonts w:ascii="Calibri" w:eastAsia="Calibri" w:hAnsi="Calibri" w:cs="Calibri"/>
                <w:color w:val="000000"/>
                <w:sz w:val="19"/>
                <w:szCs w:val="19"/>
              </w:rPr>
              <w:t>1.00%</w:t>
            </w:r>
          </w:p>
        </w:tc>
        <w:tc>
          <w:tcPr>
            <w:tcW w:w="900" w:type="dxa"/>
            <w:shd w:val="clear" w:color="auto" w:fill="FFFFFF"/>
            <w:vAlign w:val="center"/>
          </w:tcPr>
          <w:p w14:paraId="6240F469" w14:textId="77777777" w:rsidR="007E00E9" w:rsidRDefault="00000000">
            <w:pPr>
              <w:spacing w:before="60" w:after="60"/>
              <w:jc w:val="center"/>
            </w:pPr>
            <w:r>
              <w:rPr>
                <w:rFonts w:ascii="Calibri" w:eastAsia="Calibri" w:hAnsi="Calibri" w:cs="Calibri"/>
                <w:color w:val="000000"/>
                <w:sz w:val="19"/>
                <w:szCs w:val="19"/>
              </w:rPr>
              <w:t>0.9824</w:t>
            </w:r>
          </w:p>
        </w:tc>
        <w:tc>
          <w:tcPr>
            <w:tcW w:w="1000" w:type="dxa"/>
            <w:shd w:val="clear" w:color="auto" w:fill="FFFFFF"/>
            <w:vAlign w:val="center"/>
          </w:tcPr>
          <w:p w14:paraId="70ED53C2" w14:textId="77777777" w:rsidR="007E00E9" w:rsidRDefault="00000000">
            <w:pPr>
              <w:spacing w:before="60" w:after="60"/>
              <w:jc w:val="center"/>
            </w:pPr>
            <w:r>
              <w:rPr>
                <w:rFonts w:ascii="Calibri" w:eastAsia="Calibri" w:hAnsi="Calibri" w:cs="Calibri"/>
                <w:b/>
                <w:bCs/>
                <w:color w:val="007A4D"/>
                <w:sz w:val="19"/>
                <w:szCs w:val="19"/>
              </w:rPr>
              <w:t>PASS</w:t>
            </w:r>
          </w:p>
        </w:tc>
      </w:tr>
      <w:tr w:rsidR="007E00E9" w14:paraId="1071C099" w14:textId="77777777">
        <w:tblPrEx>
          <w:tblCellMar>
            <w:top w:w="0" w:type="dxa"/>
            <w:bottom w:w="0" w:type="dxa"/>
          </w:tblCellMar>
        </w:tblPrEx>
        <w:tc>
          <w:tcPr>
            <w:tcW w:w="2100" w:type="dxa"/>
            <w:shd w:val="clear" w:color="auto" w:fill="F2F2F2"/>
            <w:vAlign w:val="center"/>
          </w:tcPr>
          <w:p w14:paraId="01886A46" w14:textId="77777777" w:rsidR="007E00E9" w:rsidRDefault="00000000">
            <w:pPr>
              <w:spacing w:before="60" w:after="60"/>
            </w:pPr>
            <w:r>
              <w:rPr>
                <w:rFonts w:ascii="Calibri" w:eastAsia="Calibri" w:hAnsi="Calibri" w:cs="Calibri"/>
                <w:color w:val="000000"/>
                <w:sz w:val="19"/>
                <w:szCs w:val="19"/>
              </w:rPr>
              <w:t>Parametric</w:t>
            </w:r>
          </w:p>
        </w:tc>
        <w:tc>
          <w:tcPr>
            <w:tcW w:w="1100" w:type="dxa"/>
            <w:shd w:val="clear" w:color="auto" w:fill="F2F2F2"/>
            <w:vAlign w:val="center"/>
          </w:tcPr>
          <w:p w14:paraId="6961C303" w14:textId="77777777" w:rsidR="007E00E9" w:rsidRDefault="00000000">
            <w:pPr>
              <w:spacing w:before="60" w:after="60"/>
              <w:jc w:val="center"/>
            </w:pPr>
            <w:r>
              <w:rPr>
                <w:rFonts w:ascii="Calibri" w:eastAsia="Calibri" w:hAnsi="Calibri" w:cs="Calibri"/>
                <w:color w:val="000000"/>
                <w:sz w:val="19"/>
                <w:szCs w:val="19"/>
              </w:rPr>
              <w:t>KSE-100</w:t>
            </w:r>
          </w:p>
        </w:tc>
        <w:tc>
          <w:tcPr>
            <w:tcW w:w="800" w:type="dxa"/>
            <w:shd w:val="clear" w:color="auto" w:fill="F2F2F2"/>
            <w:vAlign w:val="center"/>
          </w:tcPr>
          <w:p w14:paraId="66834426" w14:textId="77777777" w:rsidR="007E00E9" w:rsidRDefault="00000000">
            <w:pPr>
              <w:spacing w:before="60" w:after="60"/>
              <w:jc w:val="center"/>
            </w:pPr>
            <w:r>
              <w:rPr>
                <w:rFonts w:ascii="Calibri" w:eastAsia="Calibri" w:hAnsi="Calibri" w:cs="Calibri"/>
                <w:color w:val="000000"/>
                <w:sz w:val="19"/>
                <w:szCs w:val="19"/>
              </w:rPr>
              <w:t>95%</w:t>
            </w:r>
          </w:p>
        </w:tc>
        <w:tc>
          <w:tcPr>
            <w:tcW w:w="800" w:type="dxa"/>
            <w:shd w:val="clear" w:color="auto" w:fill="F2F2F2"/>
            <w:vAlign w:val="center"/>
          </w:tcPr>
          <w:p w14:paraId="54DA46FC" w14:textId="77777777" w:rsidR="007E00E9" w:rsidRDefault="00000000">
            <w:pPr>
              <w:spacing w:before="60" w:after="60"/>
              <w:jc w:val="center"/>
            </w:pPr>
            <w:r>
              <w:rPr>
                <w:rFonts w:ascii="Calibri" w:eastAsia="Calibri" w:hAnsi="Calibri" w:cs="Calibri"/>
                <w:color w:val="000000"/>
                <w:sz w:val="19"/>
                <w:szCs w:val="19"/>
              </w:rPr>
              <w:t>161</w:t>
            </w:r>
          </w:p>
        </w:tc>
        <w:tc>
          <w:tcPr>
            <w:tcW w:w="800" w:type="dxa"/>
            <w:shd w:val="clear" w:color="auto" w:fill="F2F2F2"/>
            <w:vAlign w:val="center"/>
          </w:tcPr>
          <w:p w14:paraId="54E221F0" w14:textId="77777777" w:rsidR="007E00E9" w:rsidRDefault="00000000">
            <w:pPr>
              <w:spacing w:before="60" w:after="60"/>
              <w:jc w:val="center"/>
            </w:pPr>
            <w:r>
              <w:rPr>
                <w:rFonts w:ascii="Calibri" w:eastAsia="Calibri" w:hAnsi="Calibri" w:cs="Calibri"/>
                <w:color w:val="000000"/>
                <w:sz w:val="19"/>
                <w:szCs w:val="19"/>
              </w:rPr>
              <w:t>174.4</w:t>
            </w:r>
          </w:p>
        </w:tc>
        <w:tc>
          <w:tcPr>
            <w:tcW w:w="900" w:type="dxa"/>
            <w:shd w:val="clear" w:color="auto" w:fill="F2F2F2"/>
            <w:vAlign w:val="center"/>
          </w:tcPr>
          <w:p w14:paraId="023CDFB7" w14:textId="77777777" w:rsidR="007E00E9" w:rsidRDefault="00000000">
            <w:pPr>
              <w:spacing w:before="60" w:after="60"/>
              <w:jc w:val="center"/>
            </w:pPr>
            <w:r>
              <w:rPr>
                <w:rFonts w:ascii="Calibri" w:eastAsia="Calibri" w:hAnsi="Calibri" w:cs="Calibri"/>
                <w:color w:val="000000"/>
                <w:sz w:val="19"/>
                <w:szCs w:val="19"/>
              </w:rPr>
              <w:t>4.62%</w:t>
            </w:r>
          </w:p>
        </w:tc>
        <w:tc>
          <w:tcPr>
            <w:tcW w:w="900" w:type="dxa"/>
            <w:shd w:val="clear" w:color="auto" w:fill="F2F2F2"/>
            <w:vAlign w:val="center"/>
          </w:tcPr>
          <w:p w14:paraId="745F15B1" w14:textId="77777777" w:rsidR="007E00E9" w:rsidRDefault="00000000">
            <w:pPr>
              <w:spacing w:before="60" w:after="60"/>
              <w:jc w:val="center"/>
            </w:pPr>
            <w:r>
              <w:rPr>
                <w:rFonts w:ascii="Calibri" w:eastAsia="Calibri" w:hAnsi="Calibri" w:cs="Calibri"/>
                <w:color w:val="000000"/>
                <w:sz w:val="19"/>
                <w:szCs w:val="19"/>
              </w:rPr>
              <w:t>0.2936</w:t>
            </w:r>
          </w:p>
        </w:tc>
        <w:tc>
          <w:tcPr>
            <w:tcW w:w="1000" w:type="dxa"/>
            <w:shd w:val="clear" w:color="auto" w:fill="F2F2F2"/>
            <w:vAlign w:val="center"/>
          </w:tcPr>
          <w:p w14:paraId="7ED01991" w14:textId="77777777" w:rsidR="007E00E9" w:rsidRDefault="00000000">
            <w:pPr>
              <w:spacing w:before="60" w:after="60"/>
              <w:jc w:val="center"/>
            </w:pPr>
            <w:r>
              <w:rPr>
                <w:rFonts w:ascii="Calibri" w:eastAsia="Calibri" w:hAnsi="Calibri" w:cs="Calibri"/>
                <w:b/>
                <w:bCs/>
                <w:color w:val="007A4D"/>
                <w:sz w:val="19"/>
                <w:szCs w:val="19"/>
              </w:rPr>
              <w:t>PASS</w:t>
            </w:r>
          </w:p>
        </w:tc>
      </w:tr>
      <w:tr w:rsidR="007E00E9" w14:paraId="34E8E2AA" w14:textId="77777777">
        <w:tblPrEx>
          <w:tblCellMar>
            <w:top w:w="0" w:type="dxa"/>
            <w:bottom w:w="0" w:type="dxa"/>
          </w:tblCellMar>
        </w:tblPrEx>
        <w:tc>
          <w:tcPr>
            <w:tcW w:w="2100" w:type="dxa"/>
            <w:shd w:val="clear" w:color="auto" w:fill="FFFFFF"/>
            <w:vAlign w:val="center"/>
          </w:tcPr>
          <w:p w14:paraId="76F656DD" w14:textId="77777777" w:rsidR="007E00E9" w:rsidRDefault="00000000">
            <w:pPr>
              <w:spacing w:before="60" w:after="60"/>
            </w:pPr>
            <w:r>
              <w:rPr>
                <w:rFonts w:ascii="Calibri" w:eastAsia="Calibri" w:hAnsi="Calibri" w:cs="Calibri"/>
                <w:color w:val="000000"/>
                <w:sz w:val="19"/>
                <w:szCs w:val="19"/>
              </w:rPr>
              <w:t>Parametric</w:t>
            </w:r>
          </w:p>
        </w:tc>
        <w:tc>
          <w:tcPr>
            <w:tcW w:w="1100" w:type="dxa"/>
            <w:shd w:val="clear" w:color="auto" w:fill="FFFFFF"/>
            <w:vAlign w:val="center"/>
          </w:tcPr>
          <w:p w14:paraId="636F5FB5" w14:textId="77777777" w:rsidR="007E00E9" w:rsidRDefault="00000000">
            <w:pPr>
              <w:spacing w:before="60" w:after="60"/>
              <w:jc w:val="center"/>
            </w:pPr>
            <w:r>
              <w:rPr>
                <w:rFonts w:ascii="Calibri" w:eastAsia="Calibri" w:hAnsi="Calibri" w:cs="Calibri"/>
                <w:color w:val="000000"/>
                <w:sz w:val="19"/>
                <w:szCs w:val="19"/>
              </w:rPr>
              <w:t>KSE-100</w:t>
            </w:r>
          </w:p>
        </w:tc>
        <w:tc>
          <w:tcPr>
            <w:tcW w:w="800" w:type="dxa"/>
            <w:shd w:val="clear" w:color="auto" w:fill="FFFFFF"/>
            <w:vAlign w:val="center"/>
          </w:tcPr>
          <w:p w14:paraId="42B793AC" w14:textId="77777777" w:rsidR="007E00E9" w:rsidRDefault="00000000">
            <w:pPr>
              <w:spacing w:before="60" w:after="60"/>
              <w:jc w:val="center"/>
            </w:pPr>
            <w:r>
              <w:rPr>
                <w:rFonts w:ascii="Calibri" w:eastAsia="Calibri" w:hAnsi="Calibri" w:cs="Calibri"/>
                <w:color w:val="000000"/>
                <w:sz w:val="19"/>
                <w:szCs w:val="19"/>
              </w:rPr>
              <w:t>99%</w:t>
            </w:r>
          </w:p>
        </w:tc>
        <w:tc>
          <w:tcPr>
            <w:tcW w:w="800" w:type="dxa"/>
            <w:shd w:val="clear" w:color="auto" w:fill="FFFFFF"/>
            <w:vAlign w:val="center"/>
          </w:tcPr>
          <w:p w14:paraId="17A8FD10" w14:textId="77777777" w:rsidR="007E00E9" w:rsidRDefault="00000000">
            <w:pPr>
              <w:spacing w:before="60" w:after="60"/>
              <w:jc w:val="center"/>
            </w:pPr>
            <w:r>
              <w:rPr>
                <w:rFonts w:ascii="Calibri" w:eastAsia="Calibri" w:hAnsi="Calibri" w:cs="Calibri"/>
                <w:color w:val="000000"/>
                <w:sz w:val="19"/>
                <w:szCs w:val="19"/>
              </w:rPr>
              <w:t>75</w:t>
            </w:r>
          </w:p>
        </w:tc>
        <w:tc>
          <w:tcPr>
            <w:tcW w:w="800" w:type="dxa"/>
            <w:shd w:val="clear" w:color="auto" w:fill="FFFFFF"/>
            <w:vAlign w:val="center"/>
          </w:tcPr>
          <w:p w14:paraId="4900FE8B" w14:textId="77777777" w:rsidR="007E00E9" w:rsidRDefault="00000000">
            <w:pPr>
              <w:spacing w:before="60" w:after="60"/>
              <w:jc w:val="center"/>
            </w:pPr>
            <w:r>
              <w:rPr>
                <w:rFonts w:ascii="Calibri" w:eastAsia="Calibri" w:hAnsi="Calibri" w:cs="Calibri"/>
                <w:color w:val="000000"/>
                <w:sz w:val="19"/>
                <w:szCs w:val="19"/>
              </w:rPr>
              <w:t>34.9</w:t>
            </w:r>
          </w:p>
        </w:tc>
        <w:tc>
          <w:tcPr>
            <w:tcW w:w="900" w:type="dxa"/>
            <w:shd w:val="clear" w:color="auto" w:fill="FFFFFF"/>
            <w:vAlign w:val="center"/>
          </w:tcPr>
          <w:p w14:paraId="4631E905" w14:textId="77777777" w:rsidR="007E00E9" w:rsidRDefault="00000000">
            <w:pPr>
              <w:spacing w:before="60" w:after="60"/>
              <w:jc w:val="center"/>
            </w:pPr>
            <w:r>
              <w:rPr>
                <w:rFonts w:ascii="Calibri" w:eastAsia="Calibri" w:hAnsi="Calibri" w:cs="Calibri"/>
                <w:color w:val="000000"/>
                <w:sz w:val="19"/>
                <w:szCs w:val="19"/>
              </w:rPr>
              <w:t>2.15%</w:t>
            </w:r>
          </w:p>
        </w:tc>
        <w:tc>
          <w:tcPr>
            <w:tcW w:w="900" w:type="dxa"/>
            <w:shd w:val="clear" w:color="auto" w:fill="FFFFFF"/>
            <w:vAlign w:val="center"/>
          </w:tcPr>
          <w:p w14:paraId="03C54C72" w14:textId="77777777" w:rsidR="007E00E9" w:rsidRDefault="00000000">
            <w:pPr>
              <w:spacing w:before="60" w:after="60"/>
              <w:jc w:val="center"/>
            </w:pPr>
            <w:r>
              <w:rPr>
                <w:rFonts w:ascii="Calibri" w:eastAsia="Calibri" w:hAnsi="Calibri" w:cs="Calibri"/>
                <w:color w:val="000000"/>
                <w:sz w:val="19"/>
                <w:szCs w:val="19"/>
              </w:rPr>
              <w:t>0.0000</w:t>
            </w:r>
          </w:p>
        </w:tc>
        <w:tc>
          <w:tcPr>
            <w:tcW w:w="1000" w:type="dxa"/>
            <w:shd w:val="clear" w:color="auto" w:fill="FFFFFF"/>
            <w:vAlign w:val="center"/>
          </w:tcPr>
          <w:p w14:paraId="43126CE8" w14:textId="77777777" w:rsidR="007E00E9" w:rsidRDefault="00000000">
            <w:pPr>
              <w:spacing w:before="60" w:after="60"/>
              <w:jc w:val="center"/>
            </w:pPr>
            <w:r>
              <w:rPr>
                <w:rFonts w:ascii="Calibri" w:eastAsia="Calibri" w:hAnsi="Calibri" w:cs="Calibri"/>
                <w:b/>
                <w:bCs/>
                <w:color w:val="CC0000"/>
                <w:sz w:val="19"/>
                <w:szCs w:val="19"/>
              </w:rPr>
              <w:t>FAIL</w:t>
            </w:r>
          </w:p>
        </w:tc>
      </w:tr>
      <w:tr w:rsidR="007E00E9" w14:paraId="216A2388" w14:textId="77777777">
        <w:tblPrEx>
          <w:tblCellMar>
            <w:top w:w="0" w:type="dxa"/>
            <w:bottom w:w="0" w:type="dxa"/>
          </w:tblCellMar>
        </w:tblPrEx>
        <w:tc>
          <w:tcPr>
            <w:tcW w:w="2100" w:type="dxa"/>
            <w:shd w:val="clear" w:color="auto" w:fill="F2F2F2"/>
            <w:vAlign w:val="center"/>
          </w:tcPr>
          <w:p w14:paraId="654C5A30" w14:textId="77777777" w:rsidR="007E00E9" w:rsidRDefault="00000000">
            <w:pPr>
              <w:spacing w:before="60" w:after="60"/>
            </w:pPr>
            <w:r>
              <w:rPr>
                <w:rFonts w:ascii="Calibri" w:eastAsia="Calibri" w:hAnsi="Calibri" w:cs="Calibri"/>
                <w:color w:val="000000"/>
                <w:sz w:val="19"/>
                <w:szCs w:val="19"/>
              </w:rPr>
              <w:t>GARCH-FHS</w:t>
            </w:r>
          </w:p>
        </w:tc>
        <w:tc>
          <w:tcPr>
            <w:tcW w:w="1100" w:type="dxa"/>
            <w:shd w:val="clear" w:color="auto" w:fill="F2F2F2"/>
            <w:vAlign w:val="center"/>
          </w:tcPr>
          <w:p w14:paraId="3D2CD9C0" w14:textId="77777777" w:rsidR="007E00E9" w:rsidRDefault="00000000">
            <w:pPr>
              <w:spacing w:before="60" w:after="60"/>
              <w:jc w:val="center"/>
            </w:pPr>
            <w:r>
              <w:rPr>
                <w:rFonts w:ascii="Calibri" w:eastAsia="Calibri" w:hAnsi="Calibri" w:cs="Calibri"/>
                <w:color w:val="000000"/>
                <w:sz w:val="19"/>
                <w:szCs w:val="19"/>
              </w:rPr>
              <w:t>KSE-100</w:t>
            </w:r>
          </w:p>
        </w:tc>
        <w:tc>
          <w:tcPr>
            <w:tcW w:w="800" w:type="dxa"/>
            <w:shd w:val="clear" w:color="auto" w:fill="F2F2F2"/>
            <w:vAlign w:val="center"/>
          </w:tcPr>
          <w:p w14:paraId="7CAA6D51" w14:textId="77777777" w:rsidR="007E00E9" w:rsidRDefault="00000000">
            <w:pPr>
              <w:spacing w:before="60" w:after="60"/>
              <w:jc w:val="center"/>
            </w:pPr>
            <w:r>
              <w:rPr>
                <w:rFonts w:ascii="Calibri" w:eastAsia="Calibri" w:hAnsi="Calibri" w:cs="Calibri"/>
                <w:color w:val="000000"/>
                <w:sz w:val="19"/>
                <w:szCs w:val="19"/>
              </w:rPr>
              <w:t>95%</w:t>
            </w:r>
          </w:p>
        </w:tc>
        <w:tc>
          <w:tcPr>
            <w:tcW w:w="800" w:type="dxa"/>
            <w:shd w:val="clear" w:color="auto" w:fill="F2F2F2"/>
            <w:vAlign w:val="center"/>
          </w:tcPr>
          <w:p w14:paraId="3130C313" w14:textId="77777777" w:rsidR="007E00E9" w:rsidRDefault="00000000">
            <w:pPr>
              <w:spacing w:before="60" w:after="60"/>
              <w:jc w:val="center"/>
            </w:pPr>
            <w:r>
              <w:rPr>
                <w:rFonts w:ascii="Calibri" w:eastAsia="Calibri" w:hAnsi="Calibri" w:cs="Calibri"/>
                <w:color w:val="000000"/>
                <w:sz w:val="19"/>
                <w:szCs w:val="19"/>
              </w:rPr>
              <w:t>180</w:t>
            </w:r>
          </w:p>
        </w:tc>
        <w:tc>
          <w:tcPr>
            <w:tcW w:w="800" w:type="dxa"/>
            <w:shd w:val="clear" w:color="auto" w:fill="F2F2F2"/>
            <w:vAlign w:val="center"/>
          </w:tcPr>
          <w:p w14:paraId="36B8731D" w14:textId="77777777" w:rsidR="007E00E9" w:rsidRDefault="00000000">
            <w:pPr>
              <w:spacing w:before="60" w:after="60"/>
              <w:jc w:val="center"/>
            </w:pPr>
            <w:r>
              <w:rPr>
                <w:rFonts w:ascii="Calibri" w:eastAsia="Calibri" w:hAnsi="Calibri" w:cs="Calibri"/>
                <w:color w:val="000000"/>
                <w:sz w:val="19"/>
                <w:szCs w:val="19"/>
              </w:rPr>
              <w:t>174.4</w:t>
            </w:r>
          </w:p>
        </w:tc>
        <w:tc>
          <w:tcPr>
            <w:tcW w:w="900" w:type="dxa"/>
            <w:shd w:val="clear" w:color="auto" w:fill="F2F2F2"/>
            <w:vAlign w:val="center"/>
          </w:tcPr>
          <w:p w14:paraId="5D24F6C0" w14:textId="77777777" w:rsidR="007E00E9" w:rsidRDefault="00000000">
            <w:pPr>
              <w:spacing w:before="60" w:after="60"/>
              <w:jc w:val="center"/>
            </w:pPr>
            <w:r>
              <w:rPr>
                <w:rFonts w:ascii="Calibri" w:eastAsia="Calibri" w:hAnsi="Calibri" w:cs="Calibri"/>
                <w:color w:val="000000"/>
                <w:sz w:val="19"/>
                <w:szCs w:val="19"/>
              </w:rPr>
              <w:t>5.16%</w:t>
            </w:r>
          </w:p>
        </w:tc>
        <w:tc>
          <w:tcPr>
            <w:tcW w:w="900" w:type="dxa"/>
            <w:shd w:val="clear" w:color="auto" w:fill="F2F2F2"/>
            <w:vAlign w:val="center"/>
          </w:tcPr>
          <w:p w14:paraId="6E1B0E12" w14:textId="77777777" w:rsidR="007E00E9" w:rsidRDefault="00000000">
            <w:pPr>
              <w:spacing w:before="60" w:after="60"/>
              <w:jc w:val="center"/>
            </w:pPr>
            <w:r>
              <w:rPr>
                <w:rFonts w:ascii="Calibri" w:eastAsia="Calibri" w:hAnsi="Calibri" w:cs="Calibri"/>
                <w:color w:val="000000"/>
                <w:sz w:val="19"/>
                <w:szCs w:val="19"/>
              </w:rPr>
              <w:t>0.6623</w:t>
            </w:r>
          </w:p>
        </w:tc>
        <w:tc>
          <w:tcPr>
            <w:tcW w:w="1000" w:type="dxa"/>
            <w:shd w:val="clear" w:color="auto" w:fill="F2F2F2"/>
            <w:vAlign w:val="center"/>
          </w:tcPr>
          <w:p w14:paraId="1EF7BF14" w14:textId="77777777" w:rsidR="007E00E9" w:rsidRDefault="00000000">
            <w:pPr>
              <w:spacing w:before="60" w:after="60"/>
              <w:jc w:val="center"/>
            </w:pPr>
            <w:r>
              <w:rPr>
                <w:rFonts w:ascii="Calibri" w:eastAsia="Calibri" w:hAnsi="Calibri" w:cs="Calibri"/>
                <w:b/>
                <w:bCs/>
                <w:color w:val="007A4D"/>
                <w:sz w:val="19"/>
                <w:szCs w:val="19"/>
              </w:rPr>
              <w:t>PASS</w:t>
            </w:r>
          </w:p>
        </w:tc>
      </w:tr>
      <w:tr w:rsidR="007E00E9" w14:paraId="488D7A14" w14:textId="77777777">
        <w:tblPrEx>
          <w:tblCellMar>
            <w:top w:w="0" w:type="dxa"/>
            <w:bottom w:w="0" w:type="dxa"/>
          </w:tblCellMar>
        </w:tblPrEx>
        <w:tc>
          <w:tcPr>
            <w:tcW w:w="2100" w:type="dxa"/>
            <w:shd w:val="clear" w:color="auto" w:fill="FFFFFF"/>
            <w:vAlign w:val="center"/>
          </w:tcPr>
          <w:p w14:paraId="7FE1D3E5" w14:textId="77777777" w:rsidR="007E00E9" w:rsidRDefault="00000000">
            <w:pPr>
              <w:spacing w:before="60" w:after="60"/>
            </w:pPr>
            <w:r>
              <w:rPr>
                <w:rFonts w:ascii="Calibri" w:eastAsia="Calibri" w:hAnsi="Calibri" w:cs="Calibri"/>
                <w:color w:val="000000"/>
                <w:sz w:val="19"/>
                <w:szCs w:val="19"/>
              </w:rPr>
              <w:t>GARCH-FHS</w:t>
            </w:r>
          </w:p>
        </w:tc>
        <w:tc>
          <w:tcPr>
            <w:tcW w:w="1100" w:type="dxa"/>
            <w:shd w:val="clear" w:color="auto" w:fill="FFFFFF"/>
            <w:vAlign w:val="center"/>
          </w:tcPr>
          <w:p w14:paraId="158B00F0" w14:textId="77777777" w:rsidR="007E00E9" w:rsidRDefault="00000000">
            <w:pPr>
              <w:spacing w:before="60" w:after="60"/>
              <w:jc w:val="center"/>
            </w:pPr>
            <w:r>
              <w:rPr>
                <w:rFonts w:ascii="Calibri" w:eastAsia="Calibri" w:hAnsi="Calibri" w:cs="Calibri"/>
                <w:color w:val="000000"/>
                <w:sz w:val="19"/>
                <w:szCs w:val="19"/>
              </w:rPr>
              <w:t>KSE-100</w:t>
            </w:r>
          </w:p>
        </w:tc>
        <w:tc>
          <w:tcPr>
            <w:tcW w:w="800" w:type="dxa"/>
            <w:shd w:val="clear" w:color="auto" w:fill="FFFFFF"/>
            <w:vAlign w:val="center"/>
          </w:tcPr>
          <w:p w14:paraId="10AFBDB3" w14:textId="77777777" w:rsidR="007E00E9" w:rsidRDefault="00000000">
            <w:pPr>
              <w:spacing w:before="60" w:after="60"/>
              <w:jc w:val="center"/>
            </w:pPr>
            <w:r>
              <w:rPr>
                <w:rFonts w:ascii="Calibri" w:eastAsia="Calibri" w:hAnsi="Calibri" w:cs="Calibri"/>
                <w:color w:val="000000"/>
                <w:sz w:val="19"/>
                <w:szCs w:val="19"/>
              </w:rPr>
              <w:t>99%</w:t>
            </w:r>
          </w:p>
        </w:tc>
        <w:tc>
          <w:tcPr>
            <w:tcW w:w="800" w:type="dxa"/>
            <w:shd w:val="clear" w:color="auto" w:fill="FFFFFF"/>
            <w:vAlign w:val="center"/>
          </w:tcPr>
          <w:p w14:paraId="410D2C95" w14:textId="77777777" w:rsidR="007E00E9" w:rsidRDefault="00000000">
            <w:pPr>
              <w:spacing w:before="60" w:after="60"/>
              <w:jc w:val="center"/>
            </w:pPr>
            <w:r>
              <w:rPr>
                <w:rFonts w:ascii="Calibri" w:eastAsia="Calibri" w:hAnsi="Calibri" w:cs="Calibri"/>
                <w:color w:val="000000"/>
                <w:sz w:val="19"/>
                <w:szCs w:val="19"/>
              </w:rPr>
              <w:t>47</w:t>
            </w:r>
          </w:p>
        </w:tc>
        <w:tc>
          <w:tcPr>
            <w:tcW w:w="800" w:type="dxa"/>
            <w:shd w:val="clear" w:color="auto" w:fill="FFFFFF"/>
            <w:vAlign w:val="center"/>
          </w:tcPr>
          <w:p w14:paraId="31741E94" w14:textId="77777777" w:rsidR="007E00E9" w:rsidRDefault="00000000">
            <w:pPr>
              <w:spacing w:before="60" w:after="60"/>
              <w:jc w:val="center"/>
            </w:pPr>
            <w:r>
              <w:rPr>
                <w:rFonts w:ascii="Calibri" w:eastAsia="Calibri" w:hAnsi="Calibri" w:cs="Calibri"/>
                <w:color w:val="000000"/>
                <w:sz w:val="19"/>
                <w:szCs w:val="19"/>
              </w:rPr>
              <w:t>34.9</w:t>
            </w:r>
          </w:p>
        </w:tc>
        <w:tc>
          <w:tcPr>
            <w:tcW w:w="900" w:type="dxa"/>
            <w:shd w:val="clear" w:color="auto" w:fill="FFFFFF"/>
            <w:vAlign w:val="center"/>
          </w:tcPr>
          <w:p w14:paraId="4EC5F46C" w14:textId="77777777" w:rsidR="007E00E9" w:rsidRDefault="00000000">
            <w:pPr>
              <w:spacing w:before="60" w:after="60"/>
              <w:jc w:val="center"/>
            </w:pPr>
            <w:r>
              <w:rPr>
                <w:rFonts w:ascii="Calibri" w:eastAsia="Calibri" w:hAnsi="Calibri" w:cs="Calibri"/>
                <w:color w:val="000000"/>
                <w:sz w:val="19"/>
                <w:szCs w:val="19"/>
              </w:rPr>
              <w:t>1.35%</w:t>
            </w:r>
          </w:p>
        </w:tc>
        <w:tc>
          <w:tcPr>
            <w:tcW w:w="900" w:type="dxa"/>
            <w:shd w:val="clear" w:color="auto" w:fill="FFFFFF"/>
            <w:vAlign w:val="center"/>
          </w:tcPr>
          <w:p w14:paraId="1B3EB937" w14:textId="77777777" w:rsidR="007E00E9" w:rsidRDefault="00000000">
            <w:pPr>
              <w:spacing w:before="60" w:after="60"/>
              <w:jc w:val="center"/>
            </w:pPr>
            <w:r>
              <w:rPr>
                <w:rFonts w:ascii="Calibri" w:eastAsia="Calibri" w:hAnsi="Calibri" w:cs="Calibri"/>
                <w:color w:val="000000"/>
                <w:sz w:val="19"/>
                <w:szCs w:val="19"/>
              </w:rPr>
              <w:t>0.0499</w:t>
            </w:r>
          </w:p>
        </w:tc>
        <w:tc>
          <w:tcPr>
            <w:tcW w:w="1000" w:type="dxa"/>
            <w:shd w:val="clear" w:color="auto" w:fill="FFFFFF"/>
            <w:vAlign w:val="center"/>
          </w:tcPr>
          <w:p w14:paraId="50542E9F" w14:textId="77777777" w:rsidR="007E00E9" w:rsidRDefault="00000000">
            <w:pPr>
              <w:spacing w:before="60" w:after="60"/>
              <w:jc w:val="center"/>
            </w:pPr>
            <w:r>
              <w:rPr>
                <w:rFonts w:ascii="Calibri" w:eastAsia="Calibri" w:hAnsi="Calibri" w:cs="Calibri"/>
                <w:b/>
                <w:bCs/>
                <w:color w:val="CC0000"/>
                <w:sz w:val="19"/>
                <w:szCs w:val="19"/>
              </w:rPr>
              <w:t>FAIL</w:t>
            </w:r>
          </w:p>
        </w:tc>
      </w:tr>
      <w:tr w:rsidR="007E00E9" w14:paraId="309E996E" w14:textId="77777777">
        <w:tblPrEx>
          <w:tblCellMar>
            <w:top w:w="0" w:type="dxa"/>
            <w:bottom w:w="0" w:type="dxa"/>
          </w:tblCellMar>
        </w:tblPrEx>
        <w:tc>
          <w:tcPr>
            <w:tcW w:w="2100" w:type="dxa"/>
            <w:shd w:val="clear" w:color="auto" w:fill="F2F2F2"/>
            <w:vAlign w:val="center"/>
          </w:tcPr>
          <w:p w14:paraId="769135D1" w14:textId="77777777" w:rsidR="007E00E9" w:rsidRDefault="00000000">
            <w:pPr>
              <w:spacing w:before="60" w:after="60"/>
            </w:pPr>
            <w:r>
              <w:rPr>
                <w:rFonts w:ascii="Calibri" w:eastAsia="Calibri" w:hAnsi="Calibri" w:cs="Calibri"/>
                <w:color w:val="000000"/>
                <w:sz w:val="19"/>
                <w:szCs w:val="19"/>
              </w:rPr>
              <w:t>Historical Simulation</w:t>
            </w:r>
          </w:p>
        </w:tc>
        <w:tc>
          <w:tcPr>
            <w:tcW w:w="1100" w:type="dxa"/>
            <w:shd w:val="clear" w:color="auto" w:fill="F2F2F2"/>
            <w:vAlign w:val="center"/>
          </w:tcPr>
          <w:p w14:paraId="3BCA89FD" w14:textId="77777777" w:rsidR="007E00E9" w:rsidRDefault="00000000">
            <w:pPr>
              <w:spacing w:before="60" w:after="60"/>
              <w:jc w:val="center"/>
            </w:pPr>
            <w:r>
              <w:rPr>
                <w:rFonts w:ascii="Calibri" w:eastAsia="Calibri" w:hAnsi="Calibri" w:cs="Calibri"/>
                <w:color w:val="000000"/>
                <w:sz w:val="19"/>
                <w:szCs w:val="19"/>
              </w:rPr>
              <w:t>COMEX Gold</w:t>
            </w:r>
          </w:p>
        </w:tc>
        <w:tc>
          <w:tcPr>
            <w:tcW w:w="800" w:type="dxa"/>
            <w:shd w:val="clear" w:color="auto" w:fill="F2F2F2"/>
            <w:vAlign w:val="center"/>
          </w:tcPr>
          <w:p w14:paraId="641C7A83" w14:textId="77777777" w:rsidR="007E00E9" w:rsidRDefault="00000000">
            <w:pPr>
              <w:spacing w:before="60" w:after="60"/>
              <w:jc w:val="center"/>
            </w:pPr>
            <w:r>
              <w:rPr>
                <w:rFonts w:ascii="Calibri" w:eastAsia="Calibri" w:hAnsi="Calibri" w:cs="Calibri"/>
                <w:color w:val="000000"/>
                <w:sz w:val="19"/>
                <w:szCs w:val="19"/>
              </w:rPr>
              <w:t>95%</w:t>
            </w:r>
          </w:p>
        </w:tc>
        <w:tc>
          <w:tcPr>
            <w:tcW w:w="800" w:type="dxa"/>
            <w:shd w:val="clear" w:color="auto" w:fill="F2F2F2"/>
            <w:vAlign w:val="center"/>
          </w:tcPr>
          <w:p w14:paraId="3394D7FF" w14:textId="77777777" w:rsidR="007E00E9" w:rsidRDefault="00000000">
            <w:pPr>
              <w:spacing w:before="60" w:after="60"/>
              <w:jc w:val="center"/>
            </w:pPr>
            <w:r>
              <w:rPr>
                <w:rFonts w:ascii="Calibri" w:eastAsia="Calibri" w:hAnsi="Calibri" w:cs="Calibri"/>
                <w:color w:val="000000"/>
                <w:sz w:val="19"/>
                <w:szCs w:val="19"/>
              </w:rPr>
              <w:t>175</w:t>
            </w:r>
          </w:p>
        </w:tc>
        <w:tc>
          <w:tcPr>
            <w:tcW w:w="800" w:type="dxa"/>
            <w:shd w:val="clear" w:color="auto" w:fill="F2F2F2"/>
            <w:vAlign w:val="center"/>
          </w:tcPr>
          <w:p w14:paraId="702F1465" w14:textId="77777777" w:rsidR="007E00E9" w:rsidRDefault="00000000">
            <w:pPr>
              <w:spacing w:before="60" w:after="60"/>
              <w:jc w:val="center"/>
            </w:pPr>
            <w:r>
              <w:rPr>
                <w:rFonts w:ascii="Calibri" w:eastAsia="Calibri" w:hAnsi="Calibri" w:cs="Calibri"/>
                <w:color w:val="000000"/>
                <w:sz w:val="19"/>
                <w:szCs w:val="19"/>
              </w:rPr>
              <w:t>174.4</w:t>
            </w:r>
          </w:p>
        </w:tc>
        <w:tc>
          <w:tcPr>
            <w:tcW w:w="900" w:type="dxa"/>
            <w:shd w:val="clear" w:color="auto" w:fill="F2F2F2"/>
            <w:vAlign w:val="center"/>
          </w:tcPr>
          <w:p w14:paraId="592E60D3" w14:textId="77777777" w:rsidR="007E00E9" w:rsidRDefault="00000000">
            <w:pPr>
              <w:spacing w:before="60" w:after="60"/>
              <w:jc w:val="center"/>
            </w:pPr>
            <w:r>
              <w:rPr>
                <w:rFonts w:ascii="Calibri" w:eastAsia="Calibri" w:hAnsi="Calibri" w:cs="Calibri"/>
                <w:color w:val="000000"/>
                <w:sz w:val="19"/>
                <w:szCs w:val="19"/>
              </w:rPr>
              <w:t>5.02%</w:t>
            </w:r>
          </w:p>
        </w:tc>
        <w:tc>
          <w:tcPr>
            <w:tcW w:w="900" w:type="dxa"/>
            <w:shd w:val="clear" w:color="auto" w:fill="F2F2F2"/>
            <w:vAlign w:val="center"/>
          </w:tcPr>
          <w:p w14:paraId="63455B7D" w14:textId="77777777" w:rsidR="007E00E9" w:rsidRDefault="00000000">
            <w:pPr>
              <w:spacing w:before="60" w:after="60"/>
              <w:jc w:val="center"/>
            </w:pPr>
            <w:r>
              <w:rPr>
                <w:rFonts w:ascii="Calibri" w:eastAsia="Calibri" w:hAnsi="Calibri" w:cs="Calibri"/>
                <w:color w:val="000000"/>
                <w:sz w:val="19"/>
                <w:szCs w:val="19"/>
              </w:rPr>
              <w:t>0.9597</w:t>
            </w:r>
          </w:p>
        </w:tc>
        <w:tc>
          <w:tcPr>
            <w:tcW w:w="1000" w:type="dxa"/>
            <w:shd w:val="clear" w:color="auto" w:fill="F2F2F2"/>
            <w:vAlign w:val="center"/>
          </w:tcPr>
          <w:p w14:paraId="76D3A645" w14:textId="77777777" w:rsidR="007E00E9" w:rsidRDefault="00000000">
            <w:pPr>
              <w:spacing w:before="60" w:after="60"/>
              <w:jc w:val="center"/>
            </w:pPr>
            <w:r>
              <w:rPr>
                <w:rFonts w:ascii="Calibri" w:eastAsia="Calibri" w:hAnsi="Calibri" w:cs="Calibri"/>
                <w:b/>
                <w:bCs/>
                <w:color w:val="007A4D"/>
                <w:sz w:val="19"/>
                <w:szCs w:val="19"/>
              </w:rPr>
              <w:t>PASS</w:t>
            </w:r>
          </w:p>
        </w:tc>
      </w:tr>
      <w:tr w:rsidR="007E00E9" w14:paraId="7F2491EB" w14:textId="77777777">
        <w:tblPrEx>
          <w:tblCellMar>
            <w:top w:w="0" w:type="dxa"/>
            <w:bottom w:w="0" w:type="dxa"/>
          </w:tblCellMar>
        </w:tblPrEx>
        <w:tc>
          <w:tcPr>
            <w:tcW w:w="2100" w:type="dxa"/>
            <w:shd w:val="clear" w:color="auto" w:fill="FFFFFF"/>
            <w:vAlign w:val="center"/>
          </w:tcPr>
          <w:p w14:paraId="4F70EE3F" w14:textId="77777777" w:rsidR="007E00E9" w:rsidRDefault="00000000">
            <w:pPr>
              <w:spacing w:before="60" w:after="60"/>
            </w:pPr>
            <w:r>
              <w:rPr>
                <w:rFonts w:ascii="Calibri" w:eastAsia="Calibri" w:hAnsi="Calibri" w:cs="Calibri"/>
                <w:color w:val="000000"/>
                <w:sz w:val="19"/>
                <w:szCs w:val="19"/>
              </w:rPr>
              <w:t>Historical Simulation</w:t>
            </w:r>
          </w:p>
        </w:tc>
        <w:tc>
          <w:tcPr>
            <w:tcW w:w="1100" w:type="dxa"/>
            <w:shd w:val="clear" w:color="auto" w:fill="FFFFFF"/>
            <w:vAlign w:val="center"/>
          </w:tcPr>
          <w:p w14:paraId="3A70C632" w14:textId="77777777" w:rsidR="007E00E9" w:rsidRDefault="00000000">
            <w:pPr>
              <w:spacing w:before="60" w:after="60"/>
              <w:jc w:val="center"/>
            </w:pPr>
            <w:r>
              <w:rPr>
                <w:rFonts w:ascii="Calibri" w:eastAsia="Calibri" w:hAnsi="Calibri" w:cs="Calibri"/>
                <w:color w:val="000000"/>
                <w:sz w:val="19"/>
                <w:szCs w:val="19"/>
              </w:rPr>
              <w:t>COMEX Gold</w:t>
            </w:r>
          </w:p>
        </w:tc>
        <w:tc>
          <w:tcPr>
            <w:tcW w:w="800" w:type="dxa"/>
            <w:shd w:val="clear" w:color="auto" w:fill="FFFFFF"/>
            <w:vAlign w:val="center"/>
          </w:tcPr>
          <w:p w14:paraId="137047CE" w14:textId="77777777" w:rsidR="007E00E9" w:rsidRDefault="00000000">
            <w:pPr>
              <w:spacing w:before="60" w:after="60"/>
              <w:jc w:val="center"/>
            </w:pPr>
            <w:r>
              <w:rPr>
                <w:rFonts w:ascii="Calibri" w:eastAsia="Calibri" w:hAnsi="Calibri" w:cs="Calibri"/>
                <w:color w:val="000000"/>
                <w:sz w:val="19"/>
                <w:szCs w:val="19"/>
              </w:rPr>
              <w:t>99%</w:t>
            </w:r>
          </w:p>
        </w:tc>
        <w:tc>
          <w:tcPr>
            <w:tcW w:w="800" w:type="dxa"/>
            <w:shd w:val="clear" w:color="auto" w:fill="FFFFFF"/>
            <w:vAlign w:val="center"/>
          </w:tcPr>
          <w:p w14:paraId="557F62EE" w14:textId="77777777" w:rsidR="007E00E9" w:rsidRDefault="00000000">
            <w:pPr>
              <w:spacing w:before="60" w:after="60"/>
              <w:jc w:val="center"/>
            </w:pPr>
            <w:r>
              <w:rPr>
                <w:rFonts w:ascii="Calibri" w:eastAsia="Calibri" w:hAnsi="Calibri" w:cs="Calibri"/>
                <w:color w:val="000000"/>
                <w:sz w:val="19"/>
                <w:szCs w:val="19"/>
              </w:rPr>
              <w:t>35</w:t>
            </w:r>
          </w:p>
        </w:tc>
        <w:tc>
          <w:tcPr>
            <w:tcW w:w="800" w:type="dxa"/>
            <w:shd w:val="clear" w:color="auto" w:fill="FFFFFF"/>
            <w:vAlign w:val="center"/>
          </w:tcPr>
          <w:p w14:paraId="13032E0A" w14:textId="77777777" w:rsidR="007E00E9" w:rsidRDefault="00000000">
            <w:pPr>
              <w:spacing w:before="60" w:after="60"/>
              <w:jc w:val="center"/>
            </w:pPr>
            <w:r>
              <w:rPr>
                <w:rFonts w:ascii="Calibri" w:eastAsia="Calibri" w:hAnsi="Calibri" w:cs="Calibri"/>
                <w:color w:val="000000"/>
                <w:sz w:val="19"/>
                <w:szCs w:val="19"/>
              </w:rPr>
              <w:t>34.9</w:t>
            </w:r>
          </w:p>
        </w:tc>
        <w:tc>
          <w:tcPr>
            <w:tcW w:w="900" w:type="dxa"/>
            <w:shd w:val="clear" w:color="auto" w:fill="FFFFFF"/>
            <w:vAlign w:val="center"/>
          </w:tcPr>
          <w:p w14:paraId="7C09E67C" w14:textId="77777777" w:rsidR="007E00E9" w:rsidRDefault="00000000">
            <w:pPr>
              <w:spacing w:before="60" w:after="60"/>
              <w:jc w:val="center"/>
            </w:pPr>
            <w:r>
              <w:rPr>
                <w:rFonts w:ascii="Calibri" w:eastAsia="Calibri" w:hAnsi="Calibri" w:cs="Calibri"/>
                <w:color w:val="000000"/>
                <w:sz w:val="19"/>
                <w:szCs w:val="19"/>
              </w:rPr>
              <w:t>1.00%</w:t>
            </w:r>
          </w:p>
        </w:tc>
        <w:tc>
          <w:tcPr>
            <w:tcW w:w="900" w:type="dxa"/>
            <w:shd w:val="clear" w:color="auto" w:fill="FFFFFF"/>
            <w:vAlign w:val="center"/>
          </w:tcPr>
          <w:p w14:paraId="22DC0D5F" w14:textId="77777777" w:rsidR="007E00E9" w:rsidRDefault="00000000">
            <w:pPr>
              <w:spacing w:before="60" w:after="60"/>
              <w:jc w:val="center"/>
            </w:pPr>
            <w:r>
              <w:rPr>
                <w:rFonts w:ascii="Calibri" w:eastAsia="Calibri" w:hAnsi="Calibri" w:cs="Calibri"/>
                <w:color w:val="000000"/>
                <w:sz w:val="19"/>
                <w:szCs w:val="19"/>
              </w:rPr>
              <w:t>0.9824</w:t>
            </w:r>
          </w:p>
        </w:tc>
        <w:tc>
          <w:tcPr>
            <w:tcW w:w="1000" w:type="dxa"/>
            <w:shd w:val="clear" w:color="auto" w:fill="FFFFFF"/>
            <w:vAlign w:val="center"/>
          </w:tcPr>
          <w:p w14:paraId="6EF9C5C2" w14:textId="77777777" w:rsidR="007E00E9" w:rsidRDefault="00000000">
            <w:pPr>
              <w:spacing w:before="60" w:after="60"/>
              <w:jc w:val="center"/>
            </w:pPr>
            <w:r>
              <w:rPr>
                <w:rFonts w:ascii="Calibri" w:eastAsia="Calibri" w:hAnsi="Calibri" w:cs="Calibri"/>
                <w:b/>
                <w:bCs/>
                <w:color w:val="007A4D"/>
                <w:sz w:val="19"/>
                <w:szCs w:val="19"/>
              </w:rPr>
              <w:t>PASS</w:t>
            </w:r>
          </w:p>
        </w:tc>
      </w:tr>
      <w:tr w:rsidR="007E00E9" w14:paraId="44BF2660" w14:textId="77777777">
        <w:tblPrEx>
          <w:tblCellMar>
            <w:top w:w="0" w:type="dxa"/>
            <w:bottom w:w="0" w:type="dxa"/>
          </w:tblCellMar>
        </w:tblPrEx>
        <w:tc>
          <w:tcPr>
            <w:tcW w:w="2100" w:type="dxa"/>
            <w:shd w:val="clear" w:color="auto" w:fill="F2F2F2"/>
            <w:vAlign w:val="center"/>
          </w:tcPr>
          <w:p w14:paraId="38FEDAAF" w14:textId="77777777" w:rsidR="007E00E9" w:rsidRDefault="00000000">
            <w:pPr>
              <w:spacing w:before="60" w:after="60"/>
            </w:pPr>
            <w:r>
              <w:rPr>
                <w:rFonts w:ascii="Calibri" w:eastAsia="Calibri" w:hAnsi="Calibri" w:cs="Calibri"/>
                <w:color w:val="000000"/>
                <w:sz w:val="19"/>
                <w:szCs w:val="19"/>
              </w:rPr>
              <w:lastRenderedPageBreak/>
              <w:t>Parametric</w:t>
            </w:r>
          </w:p>
        </w:tc>
        <w:tc>
          <w:tcPr>
            <w:tcW w:w="1100" w:type="dxa"/>
            <w:shd w:val="clear" w:color="auto" w:fill="F2F2F2"/>
            <w:vAlign w:val="center"/>
          </w:tcPr>
          <w:p w14:paraId="24183E39" w14:textId="77777777" w:rsidR="007E00E9" w:rsidRDefault="00000000">
            <w:pPr>
              <w:spacing w:before="60" w:after="60"/>
              <w:jc w:val="center"/>
            </w:pPr>
            <w:r>
              <w:rPr>
                <w:rFonts w:ascii="Calibri" w:eastAsia="Calibri" w:hAnsi="Calibri" w:cs="Calibri"/>
                <w:color w:val="000000"/>
                <w:sz w:val="19"/>
                <w:szCs w:val="19"/>
              </w:rPr>
              <w:t>COMEX Gold</w:t>
            </w:r>
          </w:p>
        </w:tc>
        <w:tc>
          <w:tcPr>
            <w:tcW w:w="800" w:type="dxa"/>
            <w:shd w:val="clear" w:color="auto" w:fill="F2F2F2"/>
            <w:vAlign w:val="center"/>
          </w:tcPr>
          <w:p w14:paraId="5117D198" w14:textId="77777777" w:rsidR="007E00E9" w:rsidRDefault="00000000">
            <w:pPr>
              <w:spacing w:before="60" w:after="60"/>
              <w:jc w:val="center"/>
            </w:pPr>
            <w:r>
              <w:rPr>
                <w:rFonts w:ascii="Calibri" w:eastAsia="Calibri" w:hAnsi="Calibri" w:cs="Calibri"/>
                <w:color w:val="000000"/>
                <w:sz w:val="19"/>
                <w:szCs w:val="19"/>
              </w:rPr>
              <w:t>95%</w:t>
            </w:r>
          </w:p>
        </w:tc>
        <w:tc>
          <w:tcPr>
            <w:tcW w:w="800" w:type="dxa"/>
            <w:shd w:val="clear" w:color="auto" w:fill="F2F2F2"/>
            <w:vAlign w:val="center"/>
          </w:tcPr>
          <w:p w14:paraId="19D09999" w14:textId="77777777" w:rsidR="007E00E9" w:rsidRDefault="00000000">
            <w:pPr>
              <w:spacing w:before="60" w:after="60"/>
              <w:jc w:val="center"/>
            </w:pPr>
            <w:r>
              <w:rPr>
                <w:rFonts w:ascii="Calibri" w:eastAsia="Calibri" w:hAnsi="Calibri" w:cs="Calibri"/>
                <w:color w:val="000000"/>
                <w:sz w:val="19"/>
                <w:szCs w:val="19"/>
              </w:rPr>
              <w:t>163</w:t>
            </w:r>
          </w:p>
        </w:tc>
        <w:tc>
          <w:tcPr>
            <w:tcW w:w="800" w:type="dxa"/>
            <w:shd w:val="clear" w:color="auto" w:fill="F2F2F2"/>
            <w:vAlign w:val="center"/>
          </w:tcPr>
          <w:p w14:paraId="72A15334" w14:textId="77777777" w:rsidR="007E00E9" w:rsidRDefault="00000000">
            <w:pPr>
              <w:spacing w:before="60" w:after="60"/>
              <w:jc w:val="center"/>
            </w:pPr>
            <w:r>
              <w:rPr>
                <w:rFonts w:ascii="Calibri" w:eastAsia="Calibri" w:hAnsi="Calibri" w:cs="Calibri"/>
                <w:color w:val="000000"/>
                <w:sz w:val="19"/>
                <w:szCs w:val="19"/>
              </w:rPr>
              <w:t>174.4</w:t>
            </w:r>
          </w:p>
        </w:tc>
        <w:tc>
          <w:tcPr>
            <w:tcW w:w="900" w:type="dxa"/>
            <w:shd w:val="clear" w:color="auto" w:fill="F2F2F2"/>
            <w:vAlign w:val="center"/>
          </w:tcPr>
          <w:p w14:paraId="3201DCD1" w14:textId="77777777" w:rsidR="007E00E9" w:rsidRDefault="00000000">
            <w:pPr>
              <w:spacing w:before="60" w:after="60"/>
              <w:jc w:val="center"/>
            </w:pPr>
            <w:r>
              <w:rPr>
                <w:rFonts w:ascii="Calibri" w:eastAsia="Calibri" w:hAnsi="Calibri" w:cs="Calibri"/>
                <w:color w:val="000000"/>
                <w:sz w:val="19"/>
                <w:szCs w:val="19"/>
              </w:rPr>
              <w:t>4.67%</w:t>
            </w:r>
          </w:p>
        </w:tc>
        <w:tc>
          <w:tcPr>
            <w:tcW w:w="900" w:type="dxa"/>
            <w:shd w:val="clear" w:color="auto" w:fill="F2F2F2"/>
            <w:vAlign w:val="center"/>
          </w:tcPr>
          <w:p w14:paraId="0C80F933" w14:textId="77777777" w:rsidR="007E00E9" w:rsidRDefault="00000000">
            <w:pPr>
              <w:spacing w:before="60" w:after="60"/>
              <w:jc w:val="center"/>
            </w:pPr>
            <w:r>
              <w:rPr>
                <w:rFonts w:ascii="Calibri" w:eastAsia="Calibri" w:hAnsi="Calibri" w:cs="Calibri"/>
                <w:color w:val="000000"/>
                <w:sz w:val="19"/>
                <w:szCs w:val="19"/>
              </w:rPr>
              <w:t>0.3728</w:t>
            </w:r>
          </w:p>
        </w:tc>
        <w:tc>
          <w:tcPr>
            <w:tcW w:w="1000" w:type="dxa"/>
            <w:shd w:val="clear" w:color="auto" w:fill="F2F2F2"/>
            <w:vAlign w:val="center"/>
          </w:tcPr>
          <w:p w14:paraId="4AE4C0A4" w14:textId="77777777" w:rsidR="007E00E9" w:rsidRDefault="00000000">
            <w:pPr>
              <w:spacing w:before="60" w:after="60"/>
              <w:jc w:val="center"/>
            </w:pPr>
            <w:r>
              <w:rPr>
                <w:rFonts w:ascii="Calibri" w:eastAsia="Calibri" w:hAnsi="Calibri" w:cs="Calibri"/>
                <w:b/>
                <w:bCs/>
                <w:color w:val="007A4D"/>
                <w:sz w:val="19"/>
                <w:szCs w:val="19"/>
              </w:rPr>
              <w:t>PASS</w:t>
            </w:r>
          </w:p>
        </w:tc>
      </w:tr>
      <w:tr w:rsidR="007E00E9" w14:paraId="320DF84C" w14:textId="77777777">
        <w:tblPrEx>
          <w:tblCellMar>
            <w:top w:w="0" w:type="dxa"/>
            <w:bottom w:w="0" w:type="dxa"/>
          </w:tblCellMar>
        </w:tblPrEx>
        <w:tc>
          <w:tcPr>
            <w:tcW w:w="2100" w:type="dxa"/>
            <w:shd w:val="clear" w:color="auto" w:fill="FFFFFF"/>
            <w:vAlign w:val="center"/>
          </w:tcPr>
          <w:p w14:paraId="742FFFB2" w14:textId="77777777" w:rsidR="007E00E9" w:rsidRDefault="00000000">
            <w:pPr>
              <w:spacing w:before="60" w:after="60"/>
            </w:pPr>
            <w:r>
              <w:rPr>
                <w:rFonts w:ascii="Calibri" w:eastAsia="Calibri" w:hAnsi="Calibri" w:cs="Calibri"/>
                <w:color w:val="000000"/>
                <w:sz w:val="19"/>
                <w:szCs w:val="19"/>
              </w:rPr>
              <w:t>Parametric</w:t>
            </w:r>
          </w:p>
        </w:tc>
        <w:tc>
          <w:tcPr>
            <w:tcW w:w="1100" w:type="dxa"/>
            <w:shd w:val="clear" w:color="auto" w:fill="FFFFFF"/>
            <w:vAlign w:val="center"/>
          </w:tcPr>
          <w:p w14:paraId="70715329" w14:textId="77777777" w:rsidR="007E00E9" w:rsidRDefault="00000000">
            <w:pPr>
              <w:spacing w:before="60" w:after="60"/>
              <w:jc w:val="center"/>
            </w:pPr>
            <w:r>
              <w:rPr>
                <w:rFonts w:ascii="Calibri" w:eastAsia="Calibri" w:hAnsi="Calibri" w:cs="Calibri"/>
                <w:color w:val="000000"/>
                <w:sz w:val="19"/>
                <w:szCs w:val="19"/>
              </w:rPr>
              <w:t>COMEX Gold</w:t>
            </w:r>
          </w:p>
        </w:tc>
        <w:tc>
          <w:tcPr>
            <w:tcW w:w="800" w:type="dxa"/>
            <w:shd w:val="clear" w:color="auto" w:fill="FFFFFF"/>
            <w:vAlign w:val="center"/>
          </w:tcPr>
          <w:p w14:paraId="469043B4" w14:textId="77777777" w:rsidR="007E00E9" w:rsidRDefault="00000000">
            <w:pPr>
              <w:spacing w:before="60" w:after="60"/>
              <w:jc w:val="center"/>
            </w:pPr>
            <w:r>
              <w:rPr>
                <w:rFonts w:ascii="Calibri" w:eastAsia="Calibri" w:hAnsi="Calibri" w:cs="Calibri"/>
                <w:color w:val="000000"/>
                <w:sz w:val="19"/>
                <w:szCs w:val="19"/>
              </w:rPr>
              <w:t>99%</w:t>
            </w:r>
          </w:p>
        </w:tc>
        <w:tc>
          <w:tcPr>
            <w:tcW w:w="800" w:type="dxa"/>
            <w:shd w:val="clear" w:color="auto" w:fill="FFFFFF"/>
            <w:vAlign w:val="center"/>
          </w:tcPr>
          <w:p w14:paraId="27823B51" w14:textId="77777777" w:rsidR="007E00E9" w:rsidRDefault="00000000">
            <w:pPr>
              <w:spacing w:before="60" w:after="60"/>
              <w:jc w:val="center"/>
            </w:pPr>
            <w:r>
              <w:rPr>
                <w:rFonts w:ascii="Calibri" w:eastAsia="Calibri" w:hAnsi="Calibri" w:cs="Calibri"/>
                <w:color w:val="000000"/>
                <w:sz w:val="19"/>
                <w:szCs w:val="19"/>
              </w:rPr>
              <w:t>61</w:t>
            </w:r>
          </w:p>
        </w:tc>
        <w:tc>
          <w:tcPr>
            <w:tcW w:w="800" w:type="dxa"/>
            <w:shd w:val="clear" w:color="auto" w:fill="FFFFFF"/>
            <w:vAlign w:val="center"/>
          </w:tcPr>
          <w:p w14:paraId="4A2A4D9E" w14:textId="77777777" w:rsidR="007E00E9" w:rsidRDefault="00000000">
            <w:pPr>
              <w:spacing w:before="60" w:after="60"/>
              <w:jc w:val="center"/>
            </w:pPr>
            <w:r>
              <w:rPr>
                <w:rFonts w:ascii="Calibri" w:eastAsia="Calibri" w:hAnsi="Calibri" w:cs="Calibri"/>
                <w:color w:val="000000"/>
                <w:sz w:val="19"/>
                <w:szCs w:val="19"/>
              </w:rPr>
              <w:t>34.9</w:t>
            </w:r>
          </w:p>
        </w:tc>
        <w:tc>
          <w:tcPr>
            <w:tcW w:w="900" w:type="dxa"/>
            <w:shd w:val="clear" w:color="auto" w:fill="FFFFFF"/>
            <w:vAlign w:val="center"/>
          </w:tcPr>
          <w:p w14:paraId="53F09345" w14:textId="77777777" w:rsidR="007E00E9" w:rsidRDefault="00000000">
            <w:pPr>
              <w:spacing w:before="60" w:after="60"/>
              <w:jc w:val="center"/>
            </w:pPr>
            <w:r>
              <w:rPr>
                <w:rFonts w:ascii="Calibri" w:eastAsia="Calibri" w:hAnsi="Calibri" w:cs="Calibri"/>
                <w:color w:val="000000"/>
                <w:sz w:val="19"/>
                <w:szCs w:val="19"/>
              </w:rPr>
              <w:t>1.75%</w:t>
            </w:r>
          </w:p>
        </w:tc>
        <w:tc>
          <w:tcPr>
            <w:tcW w:w="900" w:type="dxa"/>
            <w:shd w:val="clear" w:color="auto" w:fill="FFFFFF"/>
            <w:vAlign w:val="center"/>
          </w:tcPr>
          <w:p w14:paraId="4F4E94FC" w14:textId="77777777" w:rsidR="007E00E9" w:rsidRDefault="00000000">
            <w:pPr>
              <w:spacing w:before="60" w:after="60"/>
              <w:jc w:val="center"/>
            </w:pPr>
            <w:r>
              <w:rPr>
                <w:rFonts w:ascii="Calibri" w:eastAsia="Calibri" w:hAnsi="Calibri" w:cs="Calibri"/>
                <w:color w:val="000000"/>
                <w:sz w:val="19"/>
                <w:szCs w:val="19"/>
              </w:rPr>
              <w:t>0.0001</w:t>
            </w:r>
          </w:p>
        </w:tc>
        <w:tc>
          <w:tcPr>
            <w:tcW w:w="1000" w:type="dxa"/>
            <w:shd w:val="clear" w:color="auto" w:fill="FFFFFF"/>
            <w:vAlign w:val="center"/>
          </w:tcPr>
          <w:p w14:paraId="14B65600" w14:textId="77777777" w:rsidR="007E00E9" w:rsidRDefault="00000000">
            <w:pPr>
              <w:spacing w:before="60" w:after="60"/>
              <w:jc w:val="center"/>
            </w:pPr>
            <w:r>
              <w:rPr>
                <w:rFonts w:ascii="Calibri" w:eastAsia="Calibri" w:hAnsi="Calibri" w:cs="Calibri"/>
                <w:b/>
                <w:bCs/>
                <w:color w:val="CC0000"/>
                <w:sz w:val="19"/>
                <w:szCs w:val="19"/>
              </w:rPr>
              <w:t>FAIL</w:t>
            </w:r>
          </w:p>
        </w:tc>
      </w:tr>
      <w:tr w:rsidR="007E00E9" w14:paraId="4B2D5C82" w14:textId="77777777">
        <w:tblPrEx>
          <w:tblCellMar>
            <w:top w:w="0" w:type="dxa"/>
            <w:bottom w:w="0" w:type="dxa"/>
          </w:tblCellMar>
        </w:tblPrEx>
        <w:tc>
          <w:tcPr>
            <w:tcW w:w="2100" w:type="dxa"/>
            <w:shd w:val="clear" w:color="auto" w:fill="F2F2F2"/>
            <w:vAlign w:val="center"/>
          </w:tcPr>
          <w:p w14:paraId="5CFB3B39" w14:textId="77777777" w:rsidR="007E00E9" w:rsidRDefault="00000000">
            <w:pPr>
              <w:spacing w:before="60" w:after="60"/>
            </w:pPr>
            <w:r>
              <w:rPr>
                <w:rFonts w:ascii="Calibri" w:eastAsia="Calibri" w:hAnsi="Calibri" w:cs="Calibri"/>
                <w:color w:val="000000"/>
                <w:sz w:val="19"/>
                <w:szCs w:val="19"/>
              </w:rPr>
              <w:t>GARCH-FHS</w:t>
            </w:r>
          </w:p>
        </w:tc>
        <w:tc>
          <w:tcPr>
            <w:tcW w:w="1100" w:type="dxa"/>
            <w:shd w:val="clear" w:color="auto" w:fill="F2F2F2"/>
            <w:vAlign w:val="center"/>
          </w:tcPr>
          <w:p w14:paraId="2D1BDBB7" w14:textId="77777777" w:rsidR="007E00E9" w:rsidRDefault="00000000">
            <w:pPr>
              <w:spacing w:before="60" w:after="60"/>
              <w:jc w:val="center"/>
            </w:pPr>
            <w:r>
              <w:rPr>
                <w:rFonts w:ascii="Calibri" w:eastAsia="Calibri" w:hAnsi="Calibri" w:cs="Calibri"/>
                <w:color w:val="000000"/>
                <w:sz w:val="19"/>
                <w:szCs w:val="19"/>
              </w:rPr>
              <w:t>COMEX Gold</w:t>
            </w:r>
          </w:p>
        </w:tc>
        <w:tc>
          <w:tcPr>
            <w:tcW w:w="800" w:type="dxa"/>
            <w:shd w:val="clear" w:color="auto" w:fill="F2F2F2"/>
            <w:vAlign w:val="center"/>
          </w:tcPr>
          <w:p w14:paraId="20C8C570" w14:textId="77777777" w:rsidR="007E00E9" w:rsidRDefault="00000000">
            <w:pPr>
              <w:spacing w:before="60" w:after="60"/>
              <w:jc w:val="center"/>
            </w:pPr>
            <w:r>
              <w:rPr>
                <w:rFonts w:ascii="Calibri" w:eastAsia="Calibri" w:hAnsi="Calibri" w:cs="Calibri"/>
                <w:color w:val="000000"/>
                <w:sz w:val="19"/>
                <w:szCs w:val="19"/>
              </w:rPr>
              <w:t>95%</w:t>
            </w:r>
          </w:p>
        </w:tc>
        <w:tc>
          <w:tcPr>
            <w:tcW w:w="800" w:type="dxa"/>
            <w:shd w:val="clear" w:color="auto" w:fill="F2F2F2"/>
            <w:vAlign w:val="center"/>
          </w:tcPr>
          <w:p w14:paraId="514B17E1" w14:textId="77777777" w:rsidR="007E00E9" w:rsidRDefault="00000000">
            <w:pPr>
              <w:spacing w:before="60" w:after="60"/>
              <w:jc w:val="center"/>
            </w:pPr>
            <w:r>
              <w:rPr>
                <w:rFonts w:ascii="Calibri" w:eastAsia="Calibri" w:hAnsi="Calibri" w:cs="Calibri"/>
                <w:color w:val="000000"/>
                <w:sz w:val="19"/>
                <w:szCs w:val="19"/>
              </w:rPr>
              <w:t>142</w:t>
            </w:r>
          </w:p>
        </w:tc>
        <w:tc>
          <w:tcPr>
            <w:tcW w:w="800" w:type="dxa"/>
            <w:shd w:val="clear" w:color="auto" w:fill="F2F2F2"/>
            <w:vAlign w:val="center"/>
          </w:tcPr>
          <w:p w14:paraId="48DFE370" w14:textId="77777777" w:rsidR="007E00E9" w:rsidRDefault="00000000">
            <w:pPr>
              <w:spacing w:before="60" w:after="60"/>
              <w:jc w:val="center"/>
            </w:pPr>
            <w:r>
              <w:rPr>
                <w:rFonts w:ascii="Calibri" w:eastAsia="Calibri" w:hAnsi="Calibri" w:cs="Calibri"/>
                <w:color w:val="000000"/>
                <w:sz w:val="19"/>
                <w:szCs w:val="19"/>
              </w:rPr>
              <w:t>174.4</w:t>
            </w:r>
          </w:p>
        </w:tc>
        <w:tc>
          <w:tcPr>
            <w:tcW w:w="900" w:type="dxa"/>
            <w:shd w:val="clear" w:color="auto" w:fill="F2F2F2"/>
            <w:vAlign w:val="center"/>
          </w:tcPr>
          <w:p w14:paraId="50250B37" w14:textId="77777777" w:rsidR="007E00E9" w:rsidRDefault="00000000">
            <w:pPr>
              <w:spacing w:before="60" w:after="60"/>
              <w:jc w:val="center"/>
            </w:pPr>
            <w:r>
              <w:rPr>
                <w:rFonts w:ascii="Calibri" w:eastAsia="Calibri" w:hAnsi="Calibri" w:cs="Calibri"/>
                <w:color w:val="000000"/>
                <w:sz w:val="19"/>
                <w:szCs w:val="19"/>
              </w:rPr>
              <w:t>4.07%</w:t>
            </w:r>
          </w:p>
        </w:tc>
        <w:tc>
          <w:tcPr>
            <w:tcW w:w="900" w:type="dxa"/>
            <w:shd w:val="clear" w:color="auto" w:fill="F2F2F2"/>
            <w:vAlign w:val="center"/>
          </w:tcPr>
          <w:p w14:paraId="382C1A6B" w14:textId="77777777" w:rsidR="007E00E9" w:rsidRDefault="00000000">
            <w:pPr>
              <w:spacing w:before="60" w:after="60"/>
              <w:jc w:val="center"/>
            </w:pPr>
            <w:r>
              <w:rPr>
                <w:rFonts w:ascii="Calibri" w:eastAsia="Calibri" w:hAnsi="Calibri" w:cs="Calibri"/>
                <w:color w:val="000000"/>
                <w:sz w:val="19"/>
                <w:szCs w:val="19"/>
              </w:rPr>
              <w:t>0.0095</w:t>
            </w:r>
          </w:p>
        </w:tc>
        <w:tc>
          <w:tcPr>
            <w:tcW w:w="1000" w:type="dxa"/>
            <w:shd w:val="clear" w:color="auto" w:fill="F2F2F2"/>
            <w:vAlign w:val="center"/>
          </w:tcPr>
          <w:p w14:paraId="0EFE41C2" w14:textId="77777777" w:rsidR="007E00E9" w:rsidRDefault="00000000">
            <w:pPr>
              <w:spacing w:before="60" w:after="60"/>
              <w:jc w:val="center"/>
            </w:pPr>
            <w:r>
              <w:rPr>
                <w:rFonts w:ascii="Calibri" w:eastAsia="Calibri" w:hAnsi="Calibri" w:cs="Calibri"/>
                <w:b/>
                <w:bCs/>
                <w:color w:val="CC0000"/>
                <w:sz w:val="19"/>
                <w:szCs w:val="19"/>
              </w:rPr>
              <w:t>FAIL</w:t>
            </w:r>
          </w:p>
        </w:tc>
      </w:tr>
      <w:tr w:rsidR="007E00E9" w14:paraId="267A5ABF" w14:textId="77777777">
        <w:tblPrEx>
          <w:tblCellMar>
            <w:top w:w="0" w:type="dxa"/>
            <w:bottom w:w="0" w:type="dxa"/>
          </w:tblCellMar>
        </w:tblPrEx>
        <w:tc>
          <w:tcPr>
            <w:tcW w:w="2100" w:type="dxa"/>
            <w:shd w:val="clear" w:color="auto" w:fill="FFFFFF"/>
            <w:vAlign w:val="center"/>
          </w:tcPr>
          <w:p w14:paraId="2642C770" w14:textId="77777777" w:rsidR="007E00E9" w:rsidRDefault="00000000">
            <w:pPr>
              <w:spacing w:before="60" w:after="60"/>
            </w:pPr>
            <w:r>
              <w:rPr>
                <w:rFonts w:ascii="Calibri" w:eastAsia="Calibri" w:hAnsi="Calibri" w:cs="Calibri"/>
                <w:color w:val="000000"/>
                <w:sz w:val="19"/>
                <w:szCs w:val="19"/>
              </w:rPr>
              <w:t>GARCH-FHS</w:t>
            </w:r>
          </w:p>
        </w:tc>
        <w:tc>
          <w:tcPr>
            <w:tcW w:w="1100" w:type="dxa"/>
            <w:shd w:val="clear" w:color="auto" w:fill="FFFFFF"/>
            <w:vAlign w:val="center"/>
          </w:tcPr>
          <w:p w14:paraId="6AE9CFDA" w14:textId="77777777" w:rsidR="007E00E9" w:rsidRDefault="00000000">
            <w:pPr>
              <w:spacing w:before="60" w:after="60"/>
              <w:jc w:val="center"/>
            </w:pPr>
            <w:r>
              <w:rPr>
                <w:rFonts w:ascii="Calibri" w:eastAsia="Calibri" w:hAnsi="Calibri" w:cs="Calibri"/>
                <w:color w:val="000000"/>
                <w:sz w:val="19"/>
                <w:szCs w:val="19"/>
              </w:rPr>
              <w:t>COMEX Gold</w:t>
            </w:r>
          </w:p>
        </w:tc>
        <w:tc>
          <w:tcPr>
            <w:tcW w:w="800" w:type="dxa"/>
            <w:shd w:val="clear" w:color="auto" w:fill="FFFFFF"/>
            <w:vAlign w:val="center"/>
          </w:tcPr>
          <w:p w14:paraId="26D7D8EE" w14:textId="77777777" w:rsidR="007E00E9" w:rsidRDefault="00000000">
            <w:pPr>
              <w:spacing w:before="60" w:after="60"/>
              <w:jc w:val="center"/>
            </w:pPr>
            <w:r>
              <w:rPr>
                <w:rFonts w:ascii="Calibri" w:eastAsia="Calibri" w:hAnsi="Calibri" w:cs="Calibri"/>
                <w:color w:val="000000"/>
                <w:sz w:val="19"/>
                <w:szCs w:val="19"/>
              </w:rPr>
              <w:t>99%</w:t>
            </w:r>
          </w:p>
        </w:tc>
        <w:tc>
          <w:tcPr>
            <w:tcW w:w="800" w:type="dxa"/>
            <w:shd w:val="clear" w:color="auto" w:fill="FFFFFF"/>
            <w:vAlign w:val="center"/>
          </w:tcPr>
          <w:p w14:paraId="41A9EA51" w14:textId="77777777" w:rsidR="007E00E9" w:rsidRDefault="00000000">
            <w:pPr>
              <w:spacing w:before="60" w:after="60"/>
              <w:jc w:val="center"/>
            </w:pPr>
            <w:r>
              <w:rPr>
                <w:rFonts w:ascii="Calibri" w:eastAsia="Calibri" w:hAnsi="Calibri" w:cs="Calibri"/>
                <w:color w:val="000000"/>
                <w:sz w:val="19"/>
                <w:szCs w:val="19"/>
              </w:rPr>
              <w:t>30</w:t>
            </w:r>
          </w:p>
        </w:tc>
        <w:tc>
          <w:tcPr>
            <w:tcW w:w="800" w:type="dxa"/>
            <w:shd w:val="clear" w:color="auto" w:fill="FFFFFF"/>
            <w:vAlign w:val="center"/>
          </w:tcPr>
          <w:p w14:paraId="2E8F06AF" w14:textId="77777777" w:rsidR="007E00E9" w:rsidRDefault="00000000">
            <w:pPr>
              <w:spacing w:before="60" w:after="60"/>
              <w:jc w:val="center"/>
            </w:pPr>
            <w:r>
              <w:rPr>
                <w:rFonts w:ascii="Calibri" w:eastAsia="Calibri" w:hAnsi="Calibri" w:cs="Calibri"/>
                <w:color w:val="000000"/>
                <w:sz w:val="19"/>
                <w:szCs w:val="19"/>
              </w:rPr>
              <w:t>34.9</w:t>
            </w:r>
          </w:p>
        </w:tc>
        <w:tc>
          <w:tcPr>
            <w:tcW w:w="900" w:type="dxa"/>
            <w:shd w:val="clear" w:color="auto" w:fill="FFFFFF"/>
            <w:vAlign w:val="center"/>
          </w:tcPr>
          <w:p w14:paraId="40003892" w14:textId="77777777" w:rsidR="007E00E9" w:rsidRDefault="00000000">
            <w:pPr>
              <w:spacing w:before="60" w:after="60"/>
              <w:jc w:val="center"/>
            </w:pPr>
            <w:r>
              <w:rPr>
                <w:rFonts w:ascii="Calibri" w:eastAsia="Calibri" w:hAnsi="Calibri" w:cs="Calibri"/>
                <w:color w:val="000000"/>
                <w:sz w:val="19"/>
                <w:szCs w:val="19"/>
              </w:rPr>
              <w:t>0.86%</w:t>
            </w:r>
          </w:p>
        </w:tc>
        <w:tc>
          <w:tcPr>
            <w:tcW w:w="900" w:type="dxa"/>
            <w:shd w:val="clear" w:color="auto" w:fill="FFFFFF"/>
            <w:vAlign w:val="center"/>
          </w:tcPr>
          <w:p w14:paraId="63872070" w14:textId="77777777" w:rsidR="007E00E9" w:rsidRDefault="00000000">
            <w:pPr>
              <w:spacing w:before="60" w:after="60"/>
              <w:jc w:val="center"/>
            </w:pPr>
            <w:r>
              <w:rPr>
                <w:rFonts w:ascii="Calibri" w:eastAsia="Calibri" w:hAnsi="Calibri" w:cs="Calibri"/>
                <w:color w:val="000000"/>
                <w:sz w:val="19"/>
                <w:szCs w:val="19"/>
              </w:rPr>
              <w:t>0.3958</w:t>
            </w:r>
          </w:p>
        </w:tc>
        <w:tc>
          <w:tcPr>
            <w:tcW w:w="1000" w:type="dxa"/>
            <w:shd w:val="clear" w:color="auto" w:fill="FFFFFF"/>
            <w:vAlign w:val="center"/>
          </w:tcPr>
          <w:p w14:paraId="51F45C00" w14:textId="77777777" w:rsidR="007E00E9" w:rsidRDefault="00000000">
            <w:pPr>
              <w:spacing w:before="60" w:after="60"/>
              <w:jc w:val="center"/>
            </w:pPr>
            <w:r>
              <w:rPr>
                <w:rFonts w:ascii="Calibri" w:eastAsia="Calibri" w:hAnsi="Calibri" w:cs="Calibri"/>
                <w:b/>
                <w:bCs/>
                <w:color w:val="007A4D"/>
                <w:sz w:val="19"/>
                <w:szCs w:val="19"/>
              </w:rPr>
              <w:t>PASS</w:t>
            </w:r>
          </w:p>
        </w:tc>
      </w:tr>
    </w:tbl>
    <w:p w14:paraId="3EF816B2" w14:textId="77777777" w:rsidR="007E00E9" w:rsidRDefault="00000000">
      <w:pPr>
        <w:spacing w:before="40" w:after="160"/>
        <w:jc w:val="center"/>
      </w:pPr>
      <w:r>
        <w:rPr>
          <w:rFonts w:ascii="Calibri" w:eastAsia="Calibri" w:hAnsi="Calibri" w:cs="Calibri"/>
          <w:i/>
          <w:iCs/>
          <w:color w:val="4A4A6A"/>
          <w:sz w:val="18"/>
          <w:szCs w:val="18"/>
        </w:rPr>
        <w:t>Table 4: Kupiec POF Backtesting Results. Green = PASS (p ≥ 0.05), Red = FAIL (p &lt; 0.05).</w:t>
      </w:r>
    </w:p>
    <w:p w14:paraId="4E8B852D" w14:textId="77777777" w:rsidR="007E00E9" w:rsidRDefault="00000000">
      <w:pPr>
        <w:spacing w:after="100"/>
        <w:jc w:val="both"/>
      </w:pPr>
      <w:r>
        <w:rPr>
          <w:rFonts w:ascii="Calibri" w:eastAsia="Calibri" w:hAnsi="Calibri" w:cs="Calibri"/>
          <w:color w:val="000000"/>
          <w:sz w:val="22"/>
          <w:szCs w:val="22"/>
        </w:rPr>
        <w:t>Historical Simulation passes all four Kupiec tests across both assets with p-values near 1.0 — breach counts match expected almost exactly (175 vs 174.4 at 95%; 35 vs 34.9 at 99%). This represents near-perfect calibration of the unconditional breach frequency.</w:t>
      </w:r>
    </w:p>
    <w:p w14:paraId="5980F95F" w14:textId="77777777" w:rsidR="007E00E9" w:rsidRDefault="00000000">
      <w:pPr>
        <w:spacing w:after="100"/>
        <w:jc w:val="both"/>
      </w:pPr>
      <w:r>
        <w:rPr>
          <w:rFonts w:ascii="Calibri" w:eastAsia="Calibri" w:hAnsi="Calibri" w:cs="Calibri"/>
          <w:color w:val="000000"/>
          <w:sz w:val="22"/>
          <w:szCs w:val="22"/>
        </w:rPr>
        <w:t>The Parametric method passes at 95% for both assets but fails decisively at 99%. For KSE-100 at 99%, the Parametric method produces 75 breaches against 34.9 expected — more than double the theoretical frequency. For COMEX Gold at 99%, it produces 61 breaches against 34.9 expected. This is the formal statistical confirmation that the normal distribution assumption is inadequate for deep tail risk measurement in these markets.</w:t>
      </w:r>
    </w:p>
    <w:p w14:paraId="43EB8C2D" w14:textId="77777777" w:rsidR="007E00E9" w:rsidRDefault="00000000">
      <w:pPr>
        <w:spacing w:after="100"/>
        <w:jc w:val="both"/>
      </w:pPr>
      <w:r>
        <w:rPr>
          <w:rFonts w:ascii="Calibri" w:eastAsia="Calibri" w:hAnsi="Calibri" w:cs="Calibri"/>
          <w:color w:val="000000"/>
          <w:sz w:val="22"/>
          <w:szCs w:val="22"/>
        </w:rPr>
        <w:t>GARCH-FHS shows mixed performance. It passes KSE-100 at 95% (180 breaches vs 174.4 expected) but fails at 99% (47 vs 34.9 expected, p = 0.0499 — exactly on the boundary). For COMEX Gold it fails at 95% (142 vs 174.4 expected — too few breaches, indicating over-conservatism) but passes cleanly at 99% (30 vs 34.9 expected). The over-conservatism at 95% for gold is explained by the elevated current conditional volatility σ_T = 1.107%, which scales the risk estimate upward beyond what the empirical 95% threshold requires.</w:t>
      </w:r>
    </w:p>
    <w:p w14:paraId="3E6D6BF2" w14:textId="77777777" w:rsidR="007E00E9" w:rsidRDefault="00000000">
      <w:pPr>
        <w:spacing w:before="80" w:after="40"/>
        <w:jc w:val="center"/>
      </w:pPr>
      <w:r>
        <w:rPr>
          <w:noProof/>
        </w:rPr>
        <w:drawing>
          <wp:inline distT="0" distB="0" distL="0" distR="0" wp14:anchorId="4923551F" wp14:editId="6B8560D9">
            <wp:extent cx="4953000" cy="2762250"/>
            <wp:effectExtent l="0" t="0" r="0" b="0"/>
            <wp:docPr id="1170019839" name="Picture 1170019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953000" cy="2762250"/>
                    </a:xfrm>
                    <a:prstGeom prst="rect">
                      <a:avLst/>
                    </a:prstGeom>
                  </pic:spPr>
                </pic:pic>
              </a:graphicData>
            </a:graphic>
          </wp:inline>
        </w:drawing>
      </w:r>
    </w:p>
    <w:p w14:paraId="06D2F557" w14:textId="77777777" w:rsidR="007E00E9" w:rsidRDefault="00000000">
      <w:pPr>
        <w:spacing w:before="40" w:after="160"/>
        <w:jc w:val="center"/>
      </w:pPr>
      <w:r>
        <w:rPr>
          <w:rFonts w:ascii="Calibri" w:eastAsia="Calibri" w:hAnsi="Calibri" w:cs="Calibri"/>
          <w:i/>
          <w:iCs/>
          <w:color w:val="4A4A6A"/>
          <w:sz w:val="18"/>
          <w:szCs w:val="18"/>
        </w:rPr>
        <w:t>Figure 19: KSE-100 Kupiec POF Backtesting</w:t>
      </w:r>
    </w:p>
    <w:p w14:paraId="661AB696" w14:textId="77777777" w:rsidR="007E00E9" w:rsidRDefault="00000000">
      <w:pPr>
        <w:spacing w:before="80" w:after="40"/>
        <w:jc w:val="center"/>
      </w:pPr>
      <w:r>
        <w:rPr>
          <w:noProof/>
        </w:rPr>
        <w:lastRenderedPageBreak/>
        <w:drawing>
          <wp:inline distT="0" distB="0" distL="0" distR="0" wp14:anchorId="76E155D2" wp14:editId="3DA65632">
            <wp:extent cx="4953000" cy="2762250"/>
            <wp:effectExtent l="0" t="0" r="0" b="0"/>
            <wp:docPr id="523613626" name="Picture 523613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953000" cy="2762250"/>
                    </a:xfrm>
                    <a:prstGeom prst="rect">
                      <a:avLst/>
                    </a:prstGeom>
                  </pic:spPr>
                </pic:pic>
              </a:graphicData>
            </a:graphic>
          </wp:inline>
        </w:drawing>
      </w:r>
    </w:p>
    <w:p w14:paraId="29DB8A3C" w14:textId="77777777" w:rsidR="007E00E9" w:rsidRDefault="00000000">
      <w:pPr>
        <w:spacing w:before="40" w:after="160"/>
        <w:jc w:val="center"/>
      </w:pPr>
      <w:r>
        <w:rPr>
          <w:rFonts w:ascii="Calibri" w:eastAsia="Calibri" w:hAnsi="Calibri" w:cs="Calibri"/>
          <w:i/>
          <w:iCs/>
          <w:color w:val="4A4A6A"/>
          <w:sz w:val="18"/>
          <w:szCs w:val="18"/>
        </w:rPr>
        <w:t>Figure 20: COMEX Gold Kupiec POF Backtesting</w:t>
      </w:r>
    </w:p>
    <w:p w14:paraId="6652EF4B" w14:textId="77777777" w:rsidR="007E00E9" w:rsidRDefault="00000000">
      <w:pPr>
        <w:pStyle w:val="Heading2"/>
        <w:spacing w:before="280"/>
      </w:pPr>
      <w:r>
        <w:t>6.4 Christoffersen Conditional Coverage Results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1100"/>
        <w:gridCol w:w="800"/>
        <w:gridCol w:w="1000"/>
        <w:gridCol w:w="1000"/>
        <w:gridCol w:w="1000"/>
        <w:gridCol w:w="1000"/>
        <w:gridCol w:w="1500"/>
      </w:tblGrid>
      <w:tr w:rsidR="007E00E9" w14:paraId="646C4D78" w14:textId="77777777">
        <w:tblPrEx>
          <w:tblCellMar>
            <w:top w:w="0" w:type="dxa"/>
            <w:bottom w:w="0" w:type="dxa"/>
          </w:tblCellMar>
        </w:tblPrEx>
        <w:tc>
          <w:tcPr>
            <w:tcW w:w="2100" w:type="dxa"/>
            <w:shd w:val="clear" w:color="auto" w:fill="2C7BB6"/>
            <w:vAlign w:val="center"/>
          </w:tcPr>
          <w:p w14:paraId="16B305BD" w14:textId="77777777" w:rsidR="007E00E9" w:rsidRDefault="00000000">
            <w:pPr>
              <w:spacing w:before="80" w:after="80"/>
              <w:jc w:val="center"/>
            </w:pPr>
            <w:r>
              <w:rPr>
                <w:rFonts w:ascii="Calibri" w:eastAsia="Calibri" w:hAnsi="Calibri" w:cs="Calibri"/>
                <w:b/>
                <w:bCs/>
                <w:color w:val="FFFFFF"/>
                <w:sz w:val="19"/>
                <w:szCs w:val="19"/>
              </w:rPr>
              <w:t>Method</w:t>
            </w:r>
          </w:p>
        </w:tc>
        <w:tc>
          <w:tcPr>
            <w:tcW w:w="1100" w:type="dxa"/>
            <w:shd w:val="clear" w:color="auto" w:fill="2C7BB6"/>
            <w:vAlign w:val="center"/>
          </w:tcPr>
          <w:p w14:paraId="6CEFCFF1" w14:textId="77777777" w:rsidR="007E00E9" w:rsidRDefault="00000000">
            <w:pPr>
              <w:spacing w:before="80" w:after="80"/>
              <w:jc w:val="center"/>
            </w:pPr>
            <w:r>
              <w:rPr>
                <w:rFonts w:ascii="Calibri" w:eastAsia="Calibri" w:hAnsi="Calibri" w:cs="Calibri"/>
                <w:b/>
                <w:bCs/>
                <w:color w:val="FFFFFF"/>
                <w:sz w:val="19"/>
                <w:szCs w:val="19"/>
              </w:rPr>
              <w:t>Asset</w:t>
            </w:r>
          </w:p>
        </w:tc>
        <w:tc>
          <w:tcPr>
            <w:tcW w:w="800" w:type="dxa"/>
            <w:shd w:val="clear" w:color="auto" w:fill="2C7BB6"/>
            <w:vAlign w:val="center"/>
          </w:tcPr>
          <w:p w14:paraId="470937CD" w14:textId="77777777" w:rsidR="007E00E9" w:rsidRDefault="00000000">
            <w:pPr>
              <w:spacing w:before="80" w:after="80"/>
              <w:jc w:val="center"/>
            </w:pPr>
            <w:r>
              <w:rPr>
                <w:rFonts w:ascii="Calibri" w:eastAsia="Calibri" w:hAnsi="Calibri" w:cs="Calibri"/>
                <w:b/>
                <w:bCs/>
                <w:color w:val="FFFFFF"/>
                <w:sz w:val="19"/>
                <w:szCs w:val="19"/>
              </w:rPr>
              <w:t>Conf.</w:t>
            </w:r>
          </w:p>
        </w:tc>
        <w:tc>
          <w:tcPr>
            <w:tcW w:w="1000" w:type="dxa"/>
            <w:shd w:val="clear" w:color="auto" w:fill="2C7BB6"/>
            <w:vAlign w:val="center"/>
          </w:tcPr>
          <w:p w14:paraId="47AE9900" w14:textId="77777777" w:rsidR="007E00E9" w:rsidRDefault="00000000">
            <w:pPr>
              <w:spacing w:before="80" w:after="80"/>
              <w:jc w:val="center"/>
            </w:pPr>
            <w:r>
              <w:rPr>
                <w:rFonts w:ascii="Calibri" w:eastAsia="Calibri" w:hAnsi="Calibri" w:cs="Calibri"/>
                <w:b/>
                <w:bCs/>
                <w:color w:val="FFFFFF"/>
                <w:sz w:val="19"/>
                <w:szCs w:val="19"/>
              </w:rPr>
              <w:t>P_UC</w:t>
            </w:r>
          </w:p>
        </w:tc>
        <w:tc>
          <w:tcPr>
            <w:tcW w:w="1000" w:type="dxa"/>
            <w:shd w:val="clear" w:color="auto" w:fill="2C7BB6"/>
            <w:vAlign w:val="center"/>
          </w:tcPr>
          <w:p w14:paraId="10307390" w14:textId="77777777" w:rsidR="007E00E9" w:rsidRDefault="00000000">
            <w:pPr>
              <w:spacing w:before="80" w:after="80"/>
              <w:jc w:val="center"/>
            </w:pPr>
            <w:r>
              <w:rPr>
                <w:rFonts w:ascii="Calibri" w:eastAsia="Calibri" w:hAnsi="Calibri" w:cs="Calibri"/>
                <w:b/>
                <w:bCs/>
                <w:color w:val="FFFFFF"/>
                <w:sz w:val="19"/>
                <w:szCs w:val="19"/>
              </w:rPr>
              <w:t>P_IND</w:t>
            </w:r>
          </w:p>
        </w:tc>
        <w:tc>
          <w:tcPr>
            <w:tcW w:w="1000" w:type="dxa"/>
            <w:shd w:val="clear" w:color="auto" w:fill="2C7BB6"/>
            <w:vAlign w:val="center"/>
          </w:tcPr>
          <w:p w14:paraId="2DCE17A2" w14:textId="77777777" w:rsidR="007E00E9" w:rsidRDefault="00000000">
            <w:pPr>
              <w:spacing w:before="80" w:after="80"/>
              <w:jc w:val="center"/>
            </w:pPr>
            <w:r>
              <w:rPr>
                <w:rFonts w:ascii="Calibri" w:eastAsia="Calibri" w:hAnsi="Calibri" w:cs="Calibri"/>
                <w:b/>
                <w:bCs/>
                <w:color w:val="FFFFFF"/>
                <w:sz w:val="19"/>
                <w:szCs w:val="19"/>
              </w:rPr>
              <w:t>P_CC</w:t>
            </w:r>
          </w:p>
        </w:tc>
        <w:tc>
          <w:tcPr>
            <w:tcW w:w="1000" w:type="dxa"/>
            <w:shd w:val="clear" w:color="auto" w:fill="2C7BB6"/>
            <w:vAlign w:val="center"/>
          </w:tcPr>
          <w:p w14:paraId="566D5DCB" w14:textId="77777777" w:rsidR="007E00E9" w:rsidRDefault="00000000">
            <w:pPr>
              <w:spacing w:before="80" w:after="80"/>
              <w:jc w:val="center"/>
            </w:pPr>
            <w:r>
              <w:rPr>
                <w:rFonts w:ascii="Calibri" w:eastAsia="Calibri" w:hAnsi="Calibri" w:cs="Calibri"/>
                <w:b/>
                <w:bCs/>
                <w:color w:val="FFFFFF"/>
                <w:sz w:val="19"/>
                <w:szCs w:val="19"/>
              </w:rPr>
              <w:t>n11</w:t>
            </w:r>
          </w:p>
        </w:tc>
        <w:tc>
          <w:tcPr>
            <w:tcW w:w="1500" w:type="dxa"/>
            <w:shd w:val="clear" w:color="auto" w:fill="2C7BB6"/>
            <w:vAlign w:val="center"/>
          </w:tcPr>
          <w:p w14:paraId="3CB41A93" w14:textId="77777777" w:rsidR="007E00E9" w:rsidRDefault="00000000">
            <w:pPr>
              <w:spacing w:before="80" w:after="80"/>
              <w:jc w:val="center"/>
            </w:pPr>
            <w:r>
              <w:rPr>
                <w:rFonts w:ascii="Calibri" w:eastAsia="Calibri" w:hAnsi="Calibri" w:cs="Calibri"/>
                <w:b/>
                <w:bCs/>
                <w:color w:val="FFFFFF"/>
                <w:sz w:val="19"/>
                <w:szCs w:val="19"/>
              </w:rPr>
              <w:t>Result</w:t>
            </w:r>
          </w:p>
        </w:tc>
      </w:tr>
      <w:tr w:rsidR="007E00E9" w14:paraId="794BCBDC" w14:textId="77777777">
        <w:tblPrEx>
          <w:tblCellMar>
            <w:top w:w="0" w:type="dxa"/>
            <w:bottom w:w="0" w:type="dxa"/>
          </w:tblCellMar>
        </w:tblPrEx>
        <w:tc>
          <w:tcPr>
            <w:tcW w:w="2100" w:type="dxa"/>
            <w:shd w:val="clear" w:color="auto" w:fill="F2F2F2"/>
            <w:vAlign w:val="center"/>
          </w:tcPr>
          <w:p w14:paraId="29E4ED28" w14:textId="77777777" w:rsidR="007E00E9" w:rsidRDefault="00000000">
            <w:pPr>
              <w:spacing w:before="60" w:after="60"/>
            </w:pPr>
            <w:r>
              <w:rPr>
                <w:rFonts w:ascii="Calibri" w:eastAsia="Calibri" w:hAnsi="Calibri" w:cs="Calibri"/>
                <w:color w:val="000000"/>
                <w:sz w:val="19"/>
                <w:szCs w:val="19"/>
              </w:rPr>
              <w:t>Historical Simulation</w:t>
            </w:r>
          </w:p>
        </w:tc>
        <w:tc>
          <w:tcPr>
            <w:tcW w:w="1100" w:type="dxa"/>
            <w:shd w:val="clear" w:color="auto" w:fill="F2F2F2"/>
            <w:vAlign w:val="center"/>
          </w:tcPr>
          <w:p w14:paraId="4E6AD4F9" w14:textId="77777777" w:rsidR="007E00E9" w:rsidRDefault="00000000">
            <w:pPr>
              <w:spacing w:before="60" w:after="60"/>
              <w:jc w:val="center"/>
            </w:pPr>
            <w:r>
              <w:rPr>
                <w:rFonts w:ascii="Calibri" w:eastAsia="Calibri" w:hAnsi="Calibri" w:cs="Calibri"/>
                <w:color w:val="000000"/>
                <w:sz w:val="19"/>
                <w:szCs w:val="19"/>
              </w:rPr>
              <w:t>KSE-100</w:t>
            </w:r>
          </w:p>
        </w:tc>
        <w:tc>
          <w:tcPr>
            <w:tcW w:w="800" w:type="dxa"/>
            <w:shd w:val="clear" w:color="auto" w:fill="F2F2F2"/>
            <w:vAlign w:val="center"/>
          </w:tcPr>
          <w:p w14:paraId="73792C32" w14:textId="77777777" w:rsidR="007E00E9" w:rsidRDefault="00000000">
            <w:pPr>
              <w:spacing w:before="60" w:after="60"/>
              <w:jc w:val="center"/>
            </w:pPr>
            <w:r>
              <w:rPr>
                <w:rFonts w:ascii="Calibri" w:eastAsia="Calibri" w:hAnsi="Calibri" w:cs="Calibri"/>
                <w:color w:val="000000"/>
                <w:sz w:val="19"/>
                <w:szCs w:val="19"/>
              </w:rPr>
              <w:t>95%</w:t>
            </w:r>
          </w:p>
        </w:tc>
        <w:tc>
          <w:tcPr>
            <w:tcW w:w="1000" w:type="dxa"/>
            <w:shd w:val="clear" w:color="auto" w:fill="F2F2F2"/>
            <w:vAlign w:val="center"/>
          </w:tcPr>
          <w:p w14:paraId="0AA16EE8" w14:textId="77777777" w:rsidR="007E00E9" w:rsidRDefault="00000000">
            <w:pPr>
              <w:spacing w:before="60" w:after="60"/>
              <w:jc w:val="center"/>
            </w:pPr>
            <w:r>
              <w:rPr>
                <w:rFonts w:ascii="Calibri" w:eastAsia="Calibri" w:hAnsi="Calibri" w:cs="Calibri"/>
                <w:color w:val="000000"/>
                <w:sz w:val="19"/>
                <w:szCs w:val="19"/>
              </w:rPr>
              <w:t>0.9597</w:t>
            </w:r>
          </w:p>
        </w:tc>
        <w:tc>
          <w:tcPr>
            <w:tcW w:w="1000" w:type="dxa"/>
            <w:shd w:val="clear" w:color="auto" w:fill="F2F2F2"/>
            <w:vAlign w:val="center"/>
          </w:tcPr>
          <w:p w14:paraId="6E286DC1" w14:textId="77777777" w:rsidR="007E00E9" w:rsidRDefault="00000000">
            <w:pPr>
              <w:spacing w:before="60" w:after="60"/>
              <w:jc w:val="center"/>
            </w:pPr>
            <w:r>
              <w:rPr>
                <w:rFonts w:ascii="Calibri" w:eastAsia="Calibri" w:hAnsi="Calibri" w:cs="Calibri"/>
                <w:color w:val="000000"/>
                <w:sz w:val="19"/>
                <w:szCs w:val="19"/>
              </w:rPr>
              <w:t>0.0000</w:t>
            </w:r>
          </w:p>
        </w:tc>
        <w:tc>
          <w:tcPr>
            <w:tcW w:w="1000" w:type="dxa"/>
            <w:shd w:val="clear" w:color="auto" w:fill="F2F2F2"/>
            <w:vAlign w:val="center"/>
          </w:tcPr>
          <w:p w14:paraId="20077D27" w14:textId="77777777" w:rsidR="007E00E9" w:rsidRDefault="00000000">
            <w:pPr>
              <w:spacing w:before="60" w:after="60"/>
              <w:jc w:val="center"/>
            </w:pPr>
            <w:r>
              <w:rPr>
                <w:rFonts w:ascii="Calibri" w:eastAsia="Calibri" w:hAnsi="Calibri" w:cs="Calibri"/>
                <w:color w:val="000000"/>
                <w:sz w:val="19"/>
                <w:szCs w:val="19"/>
              </w:rPr>
              <w:t>0.0000</w:t>
            </w:r>
          </w:p>
        </w:tc>
        <w:tc>
          <w:tcPr>
            <w:tcW w:w="1000" w:type="dxa"/>
            <w:shd w:val="clear" w:color="auto" w:fill="F2F2F2"/>
            <w:vAlign w:val="center"/>
          </w:tcPr>
          <w:p w14:paraId="5A58F458" w14:textId="77777777" w:rsidR="007E00E9" w:rsidRDefault="00000000">
            <w:pPr>
              <w:spacing w:before="60" w:after="60"/>
              <w:jc w:val="center"/>
            </w:pPr>
            <w:r>
              <w:rPr>
                <w:rFonts w:ascii="Calibri" w:eastAsia="Calibri" w:hAnsi="Calibri" w:cs="Calibri"/>
                <w:color w:val="000000"/>
                <w:sz w:val="19"/>
                <w:szCs w:val="19"/>
              </w:rPr>
              <w:t>24</w:t>
            </w:r>
          </w:p>
        </w:tc>
        <w:tc>
          <w:tcPr>
            <w:tcW w:w="1500" w:type="dxa"/>
            <w:shd w:val="clear" w:color="auto" w:fill="F2F2F2"/>
            <w:vAlign w:val="center"/>
          </w:tcPr>
          <w:p w14:paraId="21A2B022" w14:textId="77777777" w:rsidR="007E00E9" w:rsidRDefault="00000000">
            <w:pPr>
              <w:spacing w:before="60" w:after="60"/>
              <w:jc w:val="center"/>
            </w:pPr>
            <w:r>
              <w:rPr>
                <w:rFonts w:ascii="Calibri" w:eastAsia="Calibri" w:hAnsi="Calibri" w:cs="Calibri"/>
                <w:b/>
                <w:bCs/>
                <w:color w:val="CC0000"/>
                <w:sz w:val="19"/>
                <w:szCs w:val="19"/>
              </w:rPr>
              <w:t>FAIL</w:t>
            </w:r>
          </w:p>
        </w:tc>
      </w:tr>
      <w:tr w:rsidR="007E00E9" w14:paraId="488B7C65" w14:textId="77777777">
        <w:tblPrEx>
          <w:tblCellMar>
            <w:top w:w="0" w:type="dxa"/>
            <w:bottom w:w="0" w:type="dxa"/>
          </w:tblCellMar>
        </w:tblPrEx>
        <w:tc>
          <w:tcPr>
            <w:tcW w:w="2100" w:type="dxa"/>
            <w:shd w:val="clear" w:color="auto" w:fill="FFFFFF"/>
            <w:vAlign w:val="center"/>
          </w:tcPr>
          <w:p w14:paraId="6BD8AA02" w14:textId="77777777" w:rsidR="007E00E9" w:rsidRDefault="00000000">
            <w:pPr>
              <w:spacing w:before="60" w:after="60"/>
            </w:pPr>
            <w:r>
              <w:rPr>
                <w:rFonts w:ascii="Calibri" w:eastAsia="Calibri" w:hAnsi="Calibri" w:cs="Calibri"/>
                <w:color w:val="000000"/>
                <w:sz w:val="19"/>
                <w:szCs w:val="19"/>
              </w:rPr>
              <w:t>Historical Simulation</w:t>
            </w:r>
          </w:p>
        </w:tc>
        <w:tc>
          <w:tcPr>
            <w:tcW w:w="1100" w:type="dxa"/>
            <w:shd w:val="clear" w:color="auto" w:fill="FFFFFF"/>
            <w:vAlign w:val="center"/>
          </w:tcPr>
          <w:p w14:paraId="71FF0EED" w14:textId="77777777" w:rsidR="007E00E9" w:rsidRDefault="00000000">
            <w:pPr>
              <w:spacing w:before="60" w:after="60"/>
              <w:jc w:val="center"/>
            </w:pPr>
            <w:r>
              <w:rPr>
                <w:rFonts w:ascii="Calibri" w:eastAsia="Calibri" w:hAnsi="Calibri" w:cs="Calibri"/>
                <w:color w:val="000000"/>
                <w:sz w:val="19"/>
                <w:szCs w:val="19"/>
              </w:rPr>
              <w:t>KSE-100</w:t>
            </w:r>
          </w:p>
        </w:tc>
        <w:tc>
          <w:tcPr>
            <w:tcW w:w="800" w:type="dxa"/>
            <w:shd w:val="clear" w:color="auto" w:fill="FFFFFF"/>
            <w:vAlign w:val="center"/>
          </w:tcPr>
          <w:p w14:paraId="60EC9235" w14:textId="77777777" w:rsidR="007E00E9" w:rsidRDefault="00000000">
            <w:pPr>
              <w:spacing w:before="60" w:after="60"/>
              <w:jc w:val="center"/>
            </w:pPr>
            <w:r>
              <w:rPr>
                <w:rFonts w:ascii="Calibri" w:eastAsia="Calibri" w:hAnsi="Calibri" w:cs="Calibri"/>
                <w:color w:val="000000"/>
                <w:sz w:val="19"/>
                <w:szCs w:val="19"/>
              </w:rPr>
              <w:t>99%</w:t>
            </w:r>
          </w:p>
        </w:tc>
        <w:tc>
          <w:tcPr>
            <w:tcW w:w="1000" w:type="dxa"/>
            <w:shd w:val="clear" w:color="auto" w:fill="FFFFFF"/>
            <w:vAlign w:val="center"/>
          </w:tcPr>
          <w:p w14:paraId="6EB1DBAF" w14:textId="77777777" w:rsidR="007E00E9" w:rsidRDefault="00000000">
            <w:pPr>
              <w:spacing w:before="60" w:after="60"/>
              <w:jc w:val="center"/>
            </w:pPr>
            <w:r>
              <w:rPr>
                <w:rFonts w:ascii="Calibri" w:eastAsia="Calibri" w:hAnsi="Calibri" w:cs="Calibri"/>
                <w:color w:val="000000"/>
                <w:sz w:val="19"/>
                <w:szCs w:val="19"/>
              </w:rPr>
              <w:t>0.9824</w:t>
            </w:r>
          </w:p>
        </w:tc>
        <w:tc>
          <w:tcPr>
            <w:tcW w:w="1000" w:type="dxa"/>
            <w:shd w:val="clear" w:color="auto" w:fill="FFFFFF"/>
            <w:vAlign w:val="center"/>
          </w:tcPr>
          <w:p w14:paraId="3845C003" w14:textId="77777777" w:rsidR="007E00E9" w:rsidRDefault="00000000">
            <w:pPr>
              <w:spacing w:before="60" w:after="60"/>
              <w:jc w:val="center"/>
            </w:pPr>
            <w:r>
              <w:rPr>
                <w:rFonts w:ascii="Calibri" w:eastAsia="Calibri" w:hAnsi="Calibri" w:cs="Calibri"/>
                <w:color w:val="000000"/>
                <w:sz w:val="19"/>
                <w:szCs w:val="19"/>
              </w:rPr>
              <w:t>0.0047</w:t>
            </w:r>
          </w:p>
        </w:tc>
        <w:tc>
          <w:tcPr>
            <w:tcW w:w="1000" w:type="dxa"/>
            <w:shd w:val="clear" w:color="auto" w:fill="FFFFFF"/>
            <w:vAlign w:val="center"/>
          </w:tcPr>
          <w:p w14:paraId="66E3FB3E" w14:textId="77777777" w:rsidR="007E00E9" w:rsidRDefault="00000000">
            <w:pPr>
              <w:spacing w:before="60" w:after="60"/>
              <w:jc w:val="center"/>
            </w:pPr>
            <w:r>
              <w:rPr>
                <w:rFonts w:ascii="Calibri" w:eastAsia="Calibri" w:hAnsi="Calibri" w:cs="Calibri"/>
                <w:color w:val="000000"/>
                <w:sz w:val="19"/>
                <w:szCs w:val="19"/>
              </w:rPr>
              <w:t>0.0184</w:t>
            </w:r>
          </w:p>
        </w:tc>
        <w:tc>
          <w:tcPr>
            <w:tcW w:w="1000" w:type="dxa"/>
            <w:shd w:val="clear" w:color="auto" w:fill="FFFFFF"/>
            <w:vAlign w:val="center"/>
          </w:tcPr>
          <w:p w14:paraId="532A76A7" w14:textId="77777777" w:rsidR="007E00E9" w:rsidRDefault="00000000">
            <w:pPr>
              <w:spacing w:before="60" w:after="60"/>
              <w:jc w:val="center"/>
            </w:pPr>
            <w:r>
              <w:rPr>
                <w:rFonts w:ascii="Calibri" w:eastAsia="Calibri" w:hAnsi="Calibri" w:cs="Calibri"/>
                <w:color w:val="000000"/>
                <w:sz w:val="19"/>
                <w:szCs w:val="19"/>
              </w:rPr>
              <w:t>3</w:t>
            </w:r>
          </w:p>
        </w:tc>
        <w:tc>
          <w:tcPr>
            <w:tcW w:w="1500" w:type="dxa"/>
            <w:shd w:val="clear" w:color="auto" w:fill="FFFFFF"/>
            <w:vAlign w:val="center"/>
          </w:tcPr>
          <w:p w14:paraId="1F16CB8C" w14:textId="77777777" w:rsidR="007E00E9" w:rsidRDefault="00000000">
            <w:pPr>
              <w:spacing w:before="60" w:after="60"/>
              <w:jc w:val="center"/>
            </w:pPr>
            <w:r>
              <w:rPr>
                <w:rFonts w:ascii="Calibri" w:eastAsia="Calibri" w:hAnsi="Calibri" w:cs="Calibri"/>
                <w:b/>
                <w:bCs/>
                <w:color w:val="CC0000"/>
                <w:sz w:val="19"/>
                <w:szCs w:val="19"/>
              </w:rPr>
              <w:t>FAIL</w:t>
            </w:r>
          </w:p>
        </w:tc>
      </w:tr>
      <w:tr w:rsidR="007E00E9" w14:paraId="63E36A3A" w14:textId="77777777">
        <w:tblPrEx>
          <w:tblCellMar>
            <w:top w:w="0" w:type="dxa"/>
            <w:bottom w:w="0" w:type="dxa"/>
          </w:tblCellMar>
        </w:tblPrEx>
        <w:tc>
          <w:tcPr>
            <w:tcW w:w="2100" w:type="dxa"/>
            <w:shd w:val="clear" w:color="auto" w:fill="F2F2F2"/>
            <w:vAlign w:val="center"/>
          </w:tcPr>
          <w:p w14:paraId="2A3013EC" w14:textId="77777777" w:rsidR="007E00E9" w:rsidRDefault="00000000">
            <w:pPr>
              <w:spacing w:before="60" w:after="60"/>
            </w:pPr>
            <w:r>
              <w:rPr>
                <w:rFonts w:ascii="Calibri" w:eastAsia="Calibri" w:hAnsi="Calibri" w:cs="Calibri"/>
                <w:color w:val="000000"/>
                <w:sz w:val="19"/>
                <w:szCs w:val="19"/>
              </w:rPr>
              <w:t>Parametric</w:t>
            </w:r>
          </w:p>
        </w:tc>
        <w:tc>
          <w:tcPr>
            <w:tcW w:w="1100" w:type="dxa"/>
            <w:shd w:val="clear" w:color="auto" w:fill="F2F2F2"/>
            <w:vAlign w:val="center"/>
          </w:tcPr>
          <w:p w14:paraId="1179076C" w14:textId="77777777" w:rsidR="007E00E9" w:rsidRDefault="00000000">
            <w:pPr>
              <w:spacing w:before="60" w:after="60"/>
              <w:jc w:val="center"/>
            </w:pPr>
            <w:r>
              <w:rPr>
                <w:rFonts w:ascii="Calibri" w:eastAsia="Calibri" w:hAnsi="Calibri" w:cs="Calibri"/>
                <w:color w:val="000000"/>
                <w:sz w:val="19"/>
                <w:szCs w:val="19"/>
              </w:rPr>
              <w:t>KSE-100</w:t>
            </w:r>
          </w:p>
        </w:tc>
        <w:tc>
          <w:tcPr>
            <w:tcW w:w="800" w:type="dxa"/>
            <w:shd w:val="clear" w:color="auto" w:fill="F2F2F2"/>
            <w:vAlign w:val="center"/>
          </w:tcPr>
          <w:p w14:paraId="6B1E8709" w14:textId="77777777" w:rsidR="007E00E9" w:rsidRDefault="00000000">
            <w:pPr>
              <w:spacing w:before="60" w:after="60"/>
              <w:jc w:val="center"/>
            </w:pPr>
            <w:r>
              <w:rPr>
                <w:rFonts w:ascii="Calibri" w:eastAsia="Calibri" w:hAnsi="Calibri" w:cs="Calibri"/>
                <w:color w:val="000000"/>
                <w:sz w:val="19"/>
                <w:szCs w:val="19"/>
              </w:rPr>
              <w:t>95%</w:t>
            </w:r>
          </w:p>
        </w:tc>
        <w:tc>
          <w:tcPr>
            <w:tcW w:w="1000" w:type="dxa"/>
            <w:shd w:val="clear" w:color="auto" w:fill="F2F2F2"/>
            <w:vAlign w:val="center"/>
          </w:tcPr>
          <w:p w14:paraId="0D2F4515" w14:textId="77777777" w:rsidR="007E00E9" w:rsidRDefault="00000000">
            <w:pPr>
              <w:spacing w:before="60" w:after="60"/>
              <w:jc w:val="center"/>
            </w:pPr>
            <w:r>
              <w:rPr>
                <w:rFonts w:ascii="Calibri" w:eastAsia="Calibri" w:hAnsi="Calibri" w:cs="Calibri"/>
                <w:color w:val="000000"/>
                <w:sz w:val="19"/>
                <w:szCs w:val="19"/>
              </w:rPr>
              <w:t>0.2936</w:t>
            </w:r>
          </w:p>
        </w:tc>
        <w:tc>
          <w:tcPr>
            <w:tcW w:w="1000" w:type="dxa"/>
            <w:shd w:val="clear" w:color="auto" w:fill="F2F2F2"/>
            <w:vAlign w:val="center"/>
          </w:tcPr>
          <w:p w14:paraId="6979DDD0" w14:textId="77777777" w:rsidR="007E00E9" w:rsidRDefault="00000000">
            <w:pPr>
              <w:spacing w:before="60" w:after="60"/>
              <w:jc w:val="center"/>
            </w:pPr>
            <w:r>
              <w:rPr>
                <w:rFonts w:ascii="Calibri" w:eastAsia="Calibri" w:hAnsi="Calibri" w:cs="Calibri"/>
                <w:color w:val="000000"/>
                <w:sz w:val="19"/>
                <w:szCs w:val="19"/>
              </w:rPr>
              <w:t>0.0000</w:t>
            </w:r>
          </w:p>
        </w:tc>
        <w:tc>
          <w:tcPr>
            <w:tcW w:w="1000" w:type="dxa"/>
            <w:shd w:val="clear" w:color="auto" w:fill="F2F2F2"/>
            <w:vAlign w:val="center"/>
          </w:tcPr>
          <w:p w14:paraId="033F74B2" w14:textId="77777777" w:rsidR="007E00E9" w:rsidRDefault="00000000">
            <w:pPr>
              <w:spacing w:before="60" w:after="60"/>
              <w:jc w:val="center"/>
            </w:pPr>
            <w:r>
              <w:rPr>
                <w:rFonts w:ascii="Calibri" w:eastAsia="Calibri" w:hAnsi="Calibri" w:cs="Calibri"/>
                <w:color w:val="000000"/>
                <w:sz w:val="19"/>
                <w:szCs w:val="19"/>
              </w:rPr>
              <w:t>0.0000</w:t>
            </w:r>
          </w:p>
        </w:tc>
        <w:tc>
          <w:tcPr>
            <w:tcW w:w="1000" w:type="dxa"/>
            <w:shd w:val="clear" w:color="auto" w:fill="F2F2F2"/>
            <w:vAlign w:val="center"/>
          </w:tcPr>
          <w:p w14:paraId="346C7501" w14:textId="77777777" w:rsidR="007E00E9" w:rsidRDefault="00000000">
            <w:pPr>
              <w:spacing w:before="60" w:after="60"/>
              <w:jc w:val="center"/>
            </w:pPr>
            <w:r>
              <w:rPr>
                <w:rFonts w:ascii="Calibri" w:eastAsia="Calibri" w:hAnsi="Calibri" w:cs="Calibri"/>
                <w:color w:val="000000"/>
                <w:sz w:val="19"/>
                <w:szCs w:val="19"/>
              </w:rPr>
              <w:t>23</w:t>
            </w:r>
          </w:p>
        </w:tc>
        <w:tc>
          <w:tcPr>
            <w:tcW w:w="1500" w:type="dxa"/>
            <w:shd w:val="clear" w:color="auto" w:fill="F2F2F2"/>
            <w:vAlign w:val="center"/>
          </w:tcPr>
          <w:p w14:paraId="3FD184E0" w14:textId="77777777" w:rsidR="007E00E9" w:rsidRDefault="00000000">
            <w:pPr>
              <w:spacing w:before="60" w:after="60"/>
              <w:jc w:val="center"/>
            </w:pPr>
            <w:r>
              <w:rPr>
                <w:rFonts w:ascii="Calibri" w:eastAsia="Calibri" w:hAnsi="Calibri" w:cs="Calibri"/>
                <w:b/>
                <w:bCs/>
                <w:color w:val="CC0000"/>
                <w:sz w:val="19"/>
                <w:szCs w:val="19"/>
              </w:rPr>
              <w:t>FAIL</w:t>
            </w:r>
          </w:p>
        </w:tc>
      </w:tr>
      <w:tr w:rsidR="007E00E9" w14:paraId="4B7FE46B" w14:textId="77777777">
        <w:tblPrEx>
          <w:tblCellMar>
            <w:top w:w="0" w:type="dxa"/>
            <w:bottom w:w="0" w:type="dxa"/>
          </w:tblCellMar>
        </w:tblPrEx>
        <w:tc>
          <w:tcPr>
            <w:tcW w:w="2100" w:type="dxa"/>
            <w:shd w:val="clear" w:color="auto" w:fill="FFFFFF"/>
            <w:vAlign w:val="center"/>
          </w:tcPr>
          <w:p w14:paraId="266F1FA5" w14:textId="77777777" w:rsidR="007E00E9" w:rsidRDefault="00000000">
            <w:pPr>
              <w:spacing w:before="60" w:after="60"/>
            </w:pPr>
            <w:r>
              <w:rPr>
                <w:rFonts w:ascii="Calibri" w:eastAsia="Calibri" w:hAnsi="Calibri" w:cs="Calibri"/>
                <w:color w:val="000000"/>
                <w:sz w:val="19"/>
                <w:szCs w:val="19"/>
              </w:rPr>
              <w:t>Parametric</w:t>
            </w:r>
          </w:p>
        </w:tc>
        <w:tc>
          <w:tcPr>
            <w:tcW w:w="1100" w:type="dxa"/>
            <w:shd w:val="clear" w:color="auto" w:fill="FFFFFF"/>
            <w:vAlign w:val="center"/>
          </w:tcPr>
          <w:p w14:paraId="101DB7FD" w14:textId="77777777" w:rsidR="007E00E9" w:rsidRDefault="00000000">
            <w:pPr>
              <w:spacing w:before="60" w:after="60"/>
              <w:jc w:val="center"/>
            </w:pPr>
            <w:r>
              <w:rPr>
                <w:rFonts w:ascii="Calibri" w:eastAsia="Calibri" w:hAnsi="Calibri" w:cs="Calibri"/>
                <w:color w:val="000000"/>
                <w:sz w:val="19"/>
                <w:szCs w:val="19"/>
              </w:rPr>
              <w:t>KSE-100</w:t>
            </w:r>
          </w:p>
        </w:tc>
        <w:tc>
          <w:tcPr>
            <w:tcW w:w="800" w:type="dxa"/>
            <w:shd w:val="clear" w:color="auto" w:fill="FFFFFF"/>
            <w:vAlign w:val="center"/>
          </w:tcPr>
          <w:p w14:paraId="5F281D7B" w14:textId="77777777" w:rsidR="007E00E9" w:rsidRDefault="00000000">
            <w:pPr>
              <w:spacing w:before="60" w:after="60"/>
              <w:jc w:val="center"/>
            </w:pPr>
            <w:r>
              <w:rPr>
                <w:rFonts w:ascii="Calibri" w:eastAsia="Calibri" w:hAnsi="Calibri" w:cs="Calibri"/>
                <w:color w:val="000000"/>
                <w:sz w:val="19"/>
                <w:szCs w:val="19"/>
              </w:rPr>
              <w:t>99%</w:t>
            </w:r>
          </w:p>
        </w:tc>
        <w:tc>
          <w:tcPr>
            <w:tcW w:w="1000" w:type="dxa"/>
            <w:shd w:val="clear" w:color="auto" w:fill="FFFFFF"/>
            <w:vAlign w:val="center"/>
          </w:tcPr>
          <w:p w14:paraId="20FFD6D8" w14:textId="77777777" w:rsidR="007E00E9" w:rsidRDefault="00000000">
            <w:pPr>
              <w:spacing w:before="60" w:after="60"/>
              <w:jc w:val="center"/>
            </w:pPr>
            <w:r>
              <w:rPr>
                <w:rFonts w:ascii="Calibri" w:eastAsia="Calibri" w:hAnsi="Calibri" w:cs="Calibri"/>
                <w:color w:val="000000"/>
                <w:sz w:val="19"/>
                <w:szCs w:val="19"/>
              </w:rPr>
              <w:t>0.0000</w:t>
            </w:r>
          </w:p>
        </w:tc>
        <w:tc>
          <w:tcPr>
            <w:tcW w:w="1000" w:type="dxa"/>
            <w:shd w:val="clear" w:color="auto" w:fill="FFFFFF"/>
            <w:vAlign w:val="center"/>
          </w:tcPr>
          <w:p w14:paraId="11E1EA2C" w14:textId="77777777" w:rsidR="007E00E9" w:rsidRDefault="00000000">
            <w:pPr>
              <w:spacing w:before="60" w:after="60"/>
              <w:jc w:val="center"/>
            </w:pPr>
            <w:r>
              <w:rPr>
                <w:rFonts w:ascii="Calibri" w:eastAsia="Calibri" w:hAnsi="Calibri" w:cs="Calibri"/>
                <w:color w:val="000000"/>
                <w:sz w:val="19"/>
                <w:szCs w:val="19"/>
              </w:rPr>
              <w:t>0.0275</w:t>
            </w:r>
          </w:p>
        </w:tc>
        <w:tc>
          <w:tcPr>
            <w:tcW w:w="1000" w:type="dxa"/>
            <w:shd w:val="clear" w:color="auto" w:fill="FFFFFF"/>
            <w:vAlign w:val="center"/>
          </w:tcPr>
          <w:p w14:paraId="22E15B53" w14:textId="77777777" w:rsidR="007E00E9" w:rsidRDefault="00000000">
            <w:pPr>
              <w:spacing w:before="60" w:after="60"/>
              <w:jc w:val="center"/>
            </w:pPr>
            <w:r>
              <w:rPr>
                <w:rFonts w:ascii="Calibri" w:eastAsia="Calibri" w:hAnsi="Calibri" w:cs="Calibri"/>
                <w:color w:val="000000"/>
                <w:sz w:val="19"/>
                <w:szCs w:val="19"/>
              </w:rPr>
              <w:t>0.0000</w:t>
            </w:r>
          </w:p>
        </w:tc>
        <w:tc>
          <w:tcPr>
            <w:tcW w:w="1000" w:type="dxa"/>
            <w:shd w:val="clear" w:color="auto" w:fill="FFFFFF"/>
            <w:vAlign w:val="center"/>
          </w:tcPr>
          <w:p w14:paraId="3A79419D" w14:textId="77777777" w:rsidR="007E00E9" w:rsidRDefault="00000000">
            <w:pPr>
              <w:spacing w:before="60" w:after="60"/>
              <w:jc w:val="center"/>
            </w:pPr>
            <w:r>
              <w:rPr>
                <w:rFonts w:ascii="Calibri" w:eastAsia="Calibri" w:hAnsi="Calibri" w:cs="Calibri"/>
                <w:color w:val="000000"/>
                <w:sz w:val="19"/>
                <w:szCs w:val="19"/>
              </w:rPr>
              <w:t>5</w:t>
            </w:r>
          </w:p>
        </w:tc>
        <w:tc>
          <w:tcPr>
            <w:tcW w:w="1500" w:type="dxa"/>
            <w:shd w:val="clear" w:color="auto" w:fill="FFFFFF"/>
            <w:vAlign w:val="center"/>
          </w:tcPr>
          <w:p w14:paraId="58D7024B" w14:textId="77777777" w:rsidR="007E00E9" w:rsidRDefault="00000000">
            <w:pPr>
              <w:spacing w:before="60" w:after="60"/>
              <w:jc w:val="center"/>
            </w:pPr>
            <w:r>
              <w:rPr>
                <w:rFonts w:ascii="Calibri" w:eastAsia="Calibri" w:hAnsi="Calibri" w:cs="Calibri"/>
                <w:b/>
                <w:bCs/>
                <w:color w:val="CC0000"/>
                <w:sz w:val="19"/>
                <w:szCs w:val="19"/>
              </w:rPr>
              <w:t>FAIL</w:t>
            </w:r>
          </w:p>
        </w:tc>
      </w:tr>
      <w:tr w:rsidR="007E00E9" w14:paraId="45A28F13" w14:textId="77777777">
        <w:tblPrEx>
          <w:tblCellMar>
            <w:top w:w="0" w:type="dxa"/>
            <w:bottom w:w="0" w:type="dxa"/>
          </w:tblCellMar>
        </w:tblPrEx>
        <w:tc>
          <w:tcPr>
            <w:tcW w:w="2100" w:type="dxa"/>
            <w:shd w:val="clear" w:color="auto" w:fill="F2F2F2"/>
            <w:vAlign w:val="center"/>
          </w:tcPr>
          <w:p w14:paraId="046AA94D" w14:textId="77777777" w:rsidR="007E00E9" w:rsidRDefault="00000000">
            <w:pPr>
              <w:spacing w:before="60" w:after="60"/>
            </w:pPr>
            <w:r>
              <w:rPr>
                <w:rFonts w:ascii="Calibri" w:eastAsia="Calibri" w:hAnsi="Calibri" w:cs="Calibri"/>
                <w:color w:val="000000"/>
                <w:sz w:val="19"/>
                <w:szCs w:val="19"/>
              </w:rPr>
              <w:t>GARCH-FHS</w:t>
            </w:r>
          </w:p>
        </w:tc>
        <w:tc>
          <w:tcPr>
            <w:tcW w:w="1100" w:type="dxa"/>
            <w:shd w:val="clear" w:color="auto" w:fill="F2F2F2"/>
            <w:vAlign w:val="center"/>
          </w:tcPr>
          <w:p w14:paraId="0AEDACF1" w14:textId="77777777" w:rsidR="007E00E9" w:rsidRDefault="00000000">
            <w:pPr>
              <w:spacing w:before="60" w:after="60"/>
              <w:jc w:val="center"/>
            </w:pPr>
            <w:r>
              <w:rPr>
                <w:rFonts w:ascii="Calibri" w:eastAsia="Calibri" w:hAnsi="Calibri" w:cs="Calibri"/>
                <w:color w:val="000000"/>
                <w:sz w:val="19"/>
                <w:szCs w:val="19"/>
              </w:rPr>
              <w:t>KSE-100</w:t>
            </w:r>
          </w:p>
        </w:tc>
        <w:tc>
          <w:tcPr>
            <w:tcW w:w="800" w:type="dxa"/>
            <w:shd w:val="clear" w:color="auto" w:fill="F2F2F2"/>
            <w:vAlign w:val="center"/>
          </w:tcPr>
          <w:p w14:paraId="5B105558" w14:textId="77777777" w:rsidR="007E00E9" w:rsidRDefault="00000000">
            <w:pPr>
              <w:spacing w:before="60" w:after="60"/>
              <w:jc w:val="center"/>
            </w:pPr>
            <w:r>
              <w:rPr>
                <w:rFonts w:ascii="Calibri" w:eastAsia="Calibri" w:hAnsi="Calibri" w:cs="Calibri"/>
                <w:color w:val="000000"/>
                <w:sz w:val="19"/>
                <w:szCs w:val="19"/>
              </w:rPr>
              <w:t>95%</w:t>
            </w:r>
          </w:p>
        </w:tc>
        <w:tc>
          <w:tcPr>
            <w:tcW w:w="1000" w:type="dxa"/>
            <w:shd w:val="clear" w:color="auto" w:fill="F2F2F2"/>
            <w:vAlign w:val="center"/>
          </w:tcPr>
          <w:p w14:paraId="1CA6E8DD" w14:textId="77777777" w:rsidR="007E00E9" w:rsidRDefault="00000000">
            <w:pPr>
              <w:spacing w:before="60" w:after="60"/>
              <w:jc w:val="center"/>
            </w:pPr>
            <w:r>
              <w:rPr>
                <w:rFonts w:ascii="Calibri" w:eastAsia="Calibri" w:hAnsi="Calibri" w:cs="Calibri"/>
                <w:color w:val="000000"/>
                <w:sz w:val="19"/>
                <w:szCs w:val="19"/>
              </w:rPr>
              <w:t>0.6623</w:t>
            </w:r>
          </w:p>
        </w:tc>
        <w:tc>
          <w:tcPr>
            <w:tcW w:w="1000" w:type="dxa"/>
            <w:shd w:val="clear" w:color="auto" w:fill="F2F2F2"/>
            <w:vAlign w:val="center"/>
          </w:tcPr>
          <w:p w14:paraId="4A401C3C" w14:textId="77777777" w:rsidR="007E00E9" w:rsidRDefault="00000000">
            <w:pPr>
              <w:spacing w:before="60" w:after="60"/>
              <w:jc w:val="center"/>
            </w:pPr>
            <w:r>
              <w:rPr>
                <w:rFonts w:ascii="Calibri" w:eastAsia="Calibri" w:hAnsi="Calibri" w:cs="Calibri"/>
                <w:color w:val="000000"/>
                <w:sz w:val="19"/>
                <w:szCs w:val="19"/>
              </w:rPr>
              <w:t>0.0000</w:t>
            </w:r>
          </w:p>
        </w:tc>
        <w:tc>
          <w:tcPr>
            <w:tcW w:w="1000" w:type="dxa"/>
            <w:shd w:val="clear" w:color="auto" w:fill="F2F2F2"/>
            <w:vAlign w:val="center"/>
          </w:tcPr>
          <w:p w14:paraId="1887FB3F" w14:textId="77777777" w:rsidR="007E00E9" w:rsidRDefault="00000000">
            <w:pPr>
              <w:spacing w:before="60" w:after="60"/>
              <w:jc w:val="center"/>
            </w:pPr>
            <w:r>
              <w:rPr>
                <w:rFonts w:ascii="Calibri" w:eastAsia="Calibri" w:hAnsi="Calibri" w:cs="Calibri"/>
                <w:color w:val="000000"/>
                <w:sz w:val="19"/>
                <w:szCs w:val="19"/>
              </w:rPr>
              <w:t>0.0000</w:t>
            </w:r>
          </w:p>
        </w:tc>
        <w:tc>
          <w:tcPr>
            <w:tcW w:w="1000" w:type="dxa"/>
            <w:shd w:val="clear" w:color="auto" w:fill="F2F2F2"/>
            <w:vAlign w:val="center"/>
          </w:tcPr>
          <w:p w14:paraId="33BE645F" w14:textId="77777777" w:rsidR="007E00E9" w:rsidRDefault="00000000">
            <w:pPr>
              <w:spacing w:before="60" w:after="60"/>
              <w:jc w:val="center"/>
            </w:pPr>
            <w:r>
              <w:rPr>
                <w:rFonts w:ascii="Calibri" w:eastAsia="Calibri" w:hAnsi="Calibri" w:cs="Calibri"/>
                <w:color w:val="000000"/>
                <w:sz w:val="19"/>
                <w:szCs w:val="19"/>
              </w:rPr>
              <w:t>27</w:t>
            </w:r>
          </w:p>
        </w:tc>
        <w:tc>
          <w:tcPr>
            <w:tcW w:w="1500" w:type="dxa"/>
            <w:shd w:val="clear" w:color="auto" w:fill="F2F2F2"/>
            <w:vAlign w:val="center"/>
          </w:tcPr>
          <w:p w14:paraId="2A1D6B1A" w14:textId="77777777" w:rsidR="007E00E9" w:rsidRDefault="00000000">
            <w:pPr>
              <w:spacing w:before="60" w:after="60"/>
              <w:jc w:val="center"/>
            </w:pPr>
            <w:r>
              <w:rPr>
                <w:rFonts w:ascii="Calibri" w:eastAsia="Calibri" w:hAnsi="Calibri" w:cs="Calibri"/>
                <w:b/>
                <w:bCs/>
                <w:color w:val="CC0000"/>
                <w:sz w:val="19"/>
                <w:szCs w:val="19"/>
              </w:rPr>
              <w:t>FAIL</w:t>
            </w:r>
          </w:p>
        </w:tc>
      </w:tr>
      <w:tr w:rsidR="007E00E9" w14:paraId="74E369F3" w14:textId="77777777">
        <w:tblPrEx>
          <w:tblCellMar>
            <w:top w:w="0" w:type="dxa"/>
            <w:bottom w:w="0" w:type="dxa"/>
          </w:tblCellMar>
        </w:tblPrEx>
        <w:tc>
          <w:tcPr>
            <w:tcW w:w="2100" w:type="dxa"/>
            <w:shd w:val="clear" w:color="auto" w:fill="FFFFFF"/>
            <w:vAlign w:val="center"/>
          </w:tcPr>
          <w:p w14:paraId="0857A273" w14:textId="77777777" w:rsidR="007E00E9" w:rsidRDefault="00000000">
            <w:pPr>
              <w:spacing w:before="60" w:after="60"/>
            </w:pPr>
            <w:r>
              <w:rPr>
                <w:rFonts w:ascii="Calibri" w:eastAsia="Calibri" w:hAnsi="Calibri" w:cs="Calibri"/>
                <w:color w:val="000000"/>
                <w:sz w:val="19"/>
                <w:szCs w:val="19"/>
              </w:rPr>
              <w:t>GARCH-FHS</w:t>
            </w:r>
          </w:p>
        </w:tc>
        <w:tc>
          <w:tcPr>
            <w:tcW w:w="1100" w:type="dxa"/>
            <w:shd w:val="clear" w:color="auto" w:fill="FFFFFF"/>
            <w:vAlign w:val="center"/>
          </w:tcPr>
          <w:p w14:paraId="24FFC163" w14:textId="77777777" w:rsidR="007E00E9" w:rsidRDefault="00000000">
            <w:pPr>
              <w:spacing w:before="60" w:after="60"/>
              <w:jc w:val="center"/>
            </w:pPr>
            <w:r>
              <w:rPr>
                <w:rFonts w:ascii="Calibri" w:eastAsia="Calibri" w:hAnsi="Calibri" w:cs="Calibri"/>
                <w:color w:val="000000"/>
                <w:sz w:val="19"/>
                <w:szCs w:val="19"/>
              </w:rPr>
              <w:t>KSE-100</w:t>
            </w:r>
          </w:p>
        </w:tc>
        <w:tc>
          <w:tcPr>
            <w:tcW w:w="800" w:type="dxa"/>
            <w:shd w:val="clear" w:color="auto" w:fill="FFFFFF"/>
            <w:vAlign w:val="center"/>
          </w:tcPr>
          <w:p w14:paraId="02AAC1DE" w14:textId="77777777" w:rsidR="007E00E9" w:rsidRDefault="00000000">
            <w:pPr>
              <w:spacing w:before="60" w:after="60"/>
              <w:jc w:val="center"/>
            </w:pPr>
            <w:r>
              <w:rPr>
                <w:rFonts w:ascii="Calibri" w:eastAsia="Calibri" w:hAnsi="Calibri" w:cs="Calibri"/>
                <w:color w:val="000000"/>
                <w:sz w:val="19"/>
                <w:szCs w:val="19"/>
              </w:rPr>
              <w:t>99%</w:t>
            </w:r>
          </w:p>
        </w:tc>
        <w:tc>
          <w:tcPr>
            <w:tcW w:w="1000" w:type="dxa"/>
            <w:shd w:val="clear" w:color="auto" w:fill="FFFFFF"/>
            <w:vAlign w:val="center"/>
          </w:tcPr>
          <w:p w14:paraId="6BDC1F63" w14:textId="77777777" w:rsidR="007E00E9" w:rsidRDefault="00000000">
            <w:pPr>
              <w:spacing w:before="60" w:after="60"/>
              <w:jc w:val="center"/>
            </w:pPr>
            <w:r>
              <w:rPr>
                <w:rFonts w:ascii="Calibri" w:eastAsia="Calibri" w:hAnsi="Calibri" w:cs="Calibri"/>
                <w:color w:val="000000"/>
                <w:sz w:val="19"/>
                <w:szCs w:val="19"/>
              </w:rPr>
              <w:t>0.0499</w:t>
            </w:r>
          </w:p>
        </w:tc>
        <w:tc>
          <w:tcPr>
            <w:tcW w:w="1000" w:type="dxa"/>
            <w:shd w:val="clear" w:color="auto" w:fill="FFFFFF"/>
            <w:vAlign w:val="center"/>
          </w:tcPr>
          <w:p w14:paraId="76AD0C94" w14:textId="77777777" w:rsidR="007E00E9" w:rsidRDefault="00000000">
            <w:pPr>
              <w:spacing w:before="60" w:after="60"/>
              <w:jc w:val="center"/>
            </w:pPr>
            <w:r>
              <w:rPr>
                <w:rFonts w:ascii="Calibri" w:eastAsia="Calibri" w:hAnsi="Calibri" w:cs="Calibri"/>
                <w:color w:val="000000"/>
                <w:sz w:val="19"/>
                <w:szCs w:val="19"/>
              </w:rPr>
              <w:t>0.0035</w:t>
            </w:r>
          </w:p>
        </w:tc>
        <w:tc>
          <w:tcPr>
            <w:tcW w:w="1000" w:type="dxa"/>
            <w:shd w:val="clear" w:color="auto" w:fill="FFFFFF"/>
            <w:vAlign w:val="center"/>
          </w:tcPr>
          <w:p w14:paraId="67C88505" w14:textId="77777777" w:rsidR="007E00E9" w:rsidRDefault="00000000">
            <w:pPr>
              <w:spacing w:before="60" w:after="60"/>
              <w:jc w:val="center"/>
            </w:pPr>
            <w:r>
              <w:rPr>
                <w:rFonts w:ascii="Calibri" w:eastAsia="Calibri" w:hAnsi="Calibri" w:cs="Calibri"/>
                <w:color w:val="000000"/>
                <w:sz w:val="19"/>
                <w:szCs w:val="19"/>
              </w:rPr>
              <w:t>0.0021</w:t>
            </w:r>
          </w:p>
        </w:tc>
        <w:tc>
          <w:tcPr>
            <w:tcW w:w="1000" w:type="dxa"/>
            <w:shd w:val="clear" w:color="auto" w:fill="FFFFFF"/>
            <w:vAlign w:val="center"/>
          </w:tcPr>
          <w:p w14:paraId="12A40961" w14:textId="77777777" w:rsidR="007E00E9" w:rsidRDefault="00000000">
            <w:pPr>
              <w:spacing w:before="60" w:after="60"/>
              <w:jc w:val="center"/>
            </w:pPr>
            <w:r>
              <w:rPr>
                <w:rFonts w:ascii="Calibri" w:eastAsia="Calibri" w:hAnsi="Calibri" w:cs="Calibri"/>
                <w:color w:val="000000"/>
                <w:sz w:val="19"/>
                <w:szCs w:val="19"/>
              </w:rPr>
              <w:t>4</w:t>
            </w:r>
          </w:p>
        </w:tc>
        <w:tc>
          <w:tcPr>
            <w:tcW w:w="1500" w:type="dxa"/>
            <w:shd w:val="clear" w:color="auto" w:fill="FFFFFF"/>
            <w:vAlign w:val="center"/>
          </w:tcPr>
          <w:p w14:paraId="3A088BAE" w14:textId="77777777" w:rsidR="007E00E9" w:rsidRDefault="00000000">
            <w:pPr>
              <w:spacing w:before="60" w:after="60"/>
              <w:jc w:val="center"/>
            </w:pPr>
            <w:r>
              <w:rPr>
                <w:rFonts w:ascii="Calibri" w:eastAsia="Calibri" w:hAnsi="Calibri" w:cs="Calibri"/>
                <w:b/>
                <w:bCs/>
                <w:color w:val="CC0000"/>
                <w:sz w:val="19"/>
                <w:szCs w:val="19"/>
              </w:rPr>
              <w:t>FAIL</w:t>
            </w:r>
          </w:p>
        </w:tc>
      </w:tr>
      <w:tr w:rsidR="007E00E9" w14:paraId="74FF1551" w14:textId="77777777">
        <w:tblPrEx>
          <w:tblCellMar>
            <w:top w:w="0" w:type="dxa"/>
            <w:bottom w:w="0" w:type="dxa"/>
          </w:tblCellMar>
        </w:tblPrEx>
        <w:tc>
          <w:tcPr>
            <w:tcW w:w="2100" w:type="dxa"/>
            <w:shd w:val="clear" w:color="auto" w:fill="F2F2F2"/>
            <w:vAlign w:val="center"/>
          </w:tcPr>
          <w:p w14:paraId="53648404" w14:textId="77777777" w:rsidR="007E00E9" w:rsidRDefault="00000000">
            <w:pPr>
              <w:spacing w:before="60" w:after="60"/>
            </w:pPr>
            <w:r>
              <w:rPr>
                <w:rFonts w:ascii="Calibri" w:eastAsia="Calibri" w:hAnsi="Calibri" w:cs="Calibri"/>
                <w:color w:val="000000"/>
                <w:sz w:val="19"/>
                <w:szCs w:val="19"/>
              </w:rPr>
              <w:t>Historical Simulation</w:t>
            </w:r>
          </w:p>
        </w:tc>
        <w:tc>
          <w:tcPr>
            <w:tcW w:w="1100" w:type="dxa"/>
            <w:shd w:val="clear" w:color="auto" w:fill="F2F2F2"/>
            <w:vAlign w:val="center"/>
          </w:tcPr>
          <w:p w14:paraId="5229674B" w14:textId="77777777" w:rsidR="007E00E9" w:rsidRDefault="00000000">
            <w:pPr>
              <w:spacing w:before="60" w:after="60"/>
              <w:jc w:val="center"/>
            </w:pPr>
            <w:r>
              <w:rPr>
                <w:rFonts w:ascii="Calibri" w:eastAsia="Calibri" w:hAnsi="Calibri" w:cs="Calibri"/>
                <w:color w:val="000000"/>
                <w:sz w:val="19"/>
                <w:szCs w:val="19"/>
              </w:rPr>
              <w:t>COMEX Gold</w:t>
            </w:r>
          </w:p>
        </w:tc>
        <w:tc>
          <w:tcPr>
            <w:tcW w:w="800" w:type="dxa"/>
            <w:shd w:val="clear" w:color="auto" w:fill="F2F2F2"/>
            <w:vAlign w:val="center"/>
          </w:tcPr>
          <w:p w14:paraId="196C79EC" w14:textId="77777777" w:rsidR="007E00E9" w:rsidRDefault="00000000">
            <w:pPr>
              <w:spacing w:before="60" w:after="60"/>
              <w:jc w:val="center"/>
            </w:pPr>
            <w:r>
              <w:rPr>
                <w:rFonts w:ascii="Calibri" w:eastAsia="Calibri" w:hAnsi="Calibri" w:cs="Calibri"/>
                <w:color w:val="000000"/>
                <w:sz w:val="19"/>
                <w:szCs w:val="19"/>
              </w:rPr>
              <w:t>95%</w:t>
            </w:r>
          </w:p>
        </w:tc>
        <w:tc>
          <w:tcPr>
            <w:tcW w:w="1000" w:type="dxa"/>
            <w:shd w:val="clear" w:color="auto" w:fill="F2F2F2"/>
            <w:vAlign w:val="center"/>
          </w:tcPr>
          <w:p w14:paraId="718E05C2" w14:textId="77777777" w:rsidR="007E00E9" w:rsidRDefault="00000000">
            <w:pPr>
              <w:spacing w:before="60" w:after="60"/>
              <w:jc w:val="center"/>
            </w:pPr>
            <w:r>
              <w:rPr>
                <w:rFonts w:ascii="Calibri" w:eastAsia="Calibri" w:hAnsi="Calibri" w:cs="Calibri"/>
                <w:color w:val="000000"/>
                <w:sz w:val="19"/>
                <w:szCs w:val="19"/>
              </w:rPr>
              <w:t>0.9597</w:t>
            </w:r>
          </w:p>
        </w:tc>
        <w:tc>
          <w:tcPr>
            <w:tcW w:w="1000" w:type="dxa"/>
            <w:shd w:val="clear" w:color="auto" w:fill="F2F2F2"/>
            <w:vAlign w:val="center"/>
          </w:tcPr>
          <w:p w14:paraId="707FD810" w14:textId="77777777" w:rsidR="007E00E9" w:rsidRDefault="00000000">
            <w:pPr>
              <w:spacing w:before="60" w:after="60"/>
              <w:jc w:val="center"/>
            </w:pPr>
            <w:r>
              <w:rPr>
                <w:rFonts w:ascii="Calibri" w:eastAsia="Calibri" w:hAnsi="Calibri" w:cs="Calibri"/>
                <w:color w:val="000000"/>
                <w:sz w:val="19"/>
                <w:szCs w:val="19"/>
              </w:rPr>
              <w:t>0.4473</w:t>
            </w:r>
          </w:p>
        </w:tc>
        <w:tc>
          <w:tcPr>
            <w:tcW w:w="1000" w:type="dxa"/>
            <w:shd w:val="clear" w:color="auto" w:fill="F2F2F2"/>
            <w:vAlign w:val="center"/>
          </w:tcPr>
          <w:p w14:paraId="7390CFED" w14:textId="77777777" w:rsidR="007E00E9" w:rsidRDefault="00000000">
            <w:pPr>
              <w:spacing w:before="60" w:after="60"/>
              <w:jc w:val="center"/>
            </w:pPr>
            <w:r>
              <w:rPr>
                <w:rFonts w:ascii="Calibri" w:eastAsia="Calibri" w:hAnsi="Calibri" w:cs="Calibri"/>
                <w:color w:val="000000"/>
                <w:sz w:val="19"/>
                <w:szCs w:val="19"/>
              </w:rPr>
              <w:t>0.7483</w:t>
            </w:r>
          </w:p>
        </w:tc>
        <w:tc>
          <w:tcPr>
            <w:tcW w:w="1000" w:type="dxa"/>
            <w:shd w:val="clear" w:color="auto" w:fill="F2F2F2"/>
            <w:vAlign w:val="center"/>
          </w:tcPr>
          <w:p w14:paraId="1585A984" w14:textId="77777777" w:rsidR="007E00E9" w:rsidRDefault="00000000">
            <w:pPr>
              <w:spacing w:before="60" w:after="60"/>
              <w:jc w:val="center"/>
            </w:pPr>
            <w:r>
              <w:rPr>
                <w:rFonts w:ascii="Calibri" w:eastAsia="Calibri" w:hAnsi="Calibri" w:cs="Calibri"/>
                <w:color w:val="000000"/>
                <w:sz w:val="19"/>
                <w:szCs w:val="19"/>
              </w:rPr>
              <w:t>11</w:t>
            </w:r>
          </w:p>
        </w:tc>
        <w:tc>
          <w:tcPr>
            <w:tcW w:w="1500" w:type="dxa"/>
            <w:shd w:val="clear" w:color="auto" w:fill="F2F2F2"/>
            <w:vAlign w:val="center"/>
          </w:tcPr>
          <w:p w14:paraId="43C4EE84" w14:textId="77777777" w:rsidR="007E00E9" w:rsidRDefault="00000000">
            <w:pPr>
              <w:spacing w:before="60" w:after="60"/>
              <w:jc w:val="center"/>
            </w:pPr>
            <w:r>
              <w:rPr>
                <w:rFonts w:ascii="Calibri" w:eastAsia="Calibri" w:hAnsi="Calibri" w:cs="Calibri"/>
                <w:b/>
                <w:bCs/>
                <w:color w:val="007A4D"/>
                <w:sz w:val="19"/>
                <w:szCs w:val="19"/>
              </w:rPr>
              <w:t>PASS</w:t>
            </w:r>
          </w:p>
        </w:tc>
      </w:tr>
      <w:tr w:rsidR="007E00E9" w14:paraId="7C958C2F" w14:textId="77777777">
        <w:tblPrEx>
          <w:tblCellMar>
            <w:top w:w="0" w:type="dxa"/>
            <w:bottom w:w="0" w:type="dxa"/>
          </w:tblCellMar>
        </w:tblPrEx>
        <w:tc>
          <w:tcPr>
            <w:tcW w:w="2100" w:type="dxa"/>
            <w:shd w:val="clear" w:color="auto" w:fill="FFFFFF"/>
            <w:vAlign w:val="center"/>
          </w:tcPr>
          <w:p w14:paraId="78E1BCAF" w14:textId="77777777" w:rsidR="007E00E9" w:rsidRDefault="00000000">
            <w:pPr>
              <w:spacing w:before="60" w:after="60"/>
            </w:pPr>
            <w:r>
              <w:rPr>
                <w:rFonts w:ascii="Calibri" w:eastAsia="Calibri" w:hAnsi="Calibri" w:cs="Calibri"/>
                <w:color w:val="000000"/>
                <w:sz w:val="19"/>
                <w:szCs w:val="19"/>
              </w:rPr>
              <w:t>Historical Simulation</w:t>
            </w:r>
          </w:p>
        </w:tc>
        <w:tc>
          <w:tcPr>
            <w:tcW w:w="1100" w:type="dxa"/>
            <w:shd w:val="clear" w:color="auto" w:fill="FFFFFF"/>
            <w:vAlign w:val="center"/>
          </w:tcPr>
          <w:p w14:paraId="071073F3" w14:textId="77777777" w:rsidR="007E00E9" w:rsidRDefault="00000000">
            <w:pPr>
              <w:spacing w:before="60" w:after="60"/>
              <w:jc w:val="center"/>
            </w:pPr>
            <w:r>
              <w:rPr>
                <w:rFonts w:ascii="Calibri" w:eastAsia="Calibri" w:hAnsi="Calibri" w:cs="Calibri"/>
                <w:color w:val="000000"/>
                <w:sz w:val="19"/>
                <w:szCs w:val="19"/>
              </w:rPr>
              <w:t>COMEX Gold</w:t>
            </w:r>
          </w:p>
        </w:tc>
        <w:tc>
          <w:tcPr>
            <w:tcW w:w="800" w:type="dxa"/>
            <w:shd w:val="clear" w:color="auto" w:fill="FFFFFF"/>
            <w:vAlign w:val="center"/>
          </w:tcPr>
          <w:p w14:paraId="1D3CD3D2" w14:textId="77777777" w:rsidR="007E00E9" w:rsidRDefault="00000000">
            <w:pPr>
              <w:spacing w:before="60" w:after="60"/>
              <w:jc w:val="center"/>
            </w:pPr>
            <w:r>
              <w:rPr>
                <w:rFonts w:ascii="Calibri" w:eastAsia="Calibri" w:hAnsi="Calibri" w:cs="Calibri"/>
                <w:color w:val="000000"/>
                <w:sz w:val="19"/>
                <w:szCs w:val="19"/>
              </w:rPr>
              <w:t>99%</w:t>
            </w:r>
          </w:p>
        </w:tc>
        <w:tc>
          <w:tcPr>
            <w:tcW w:w="1000" w:type="dxa"/>
            <w:shd w:val="clear" w:color="auto" w:fill="FFFFFF"/>
            <w:vAlign w:val="center"/>
          </w:tcPr>
          <w:p w14:paraId="4196EF03" w14:textId="77777777" w:rsidR="007E00E9" w:rsidRDefault="00000000">
            <w:pPr>
              <w:spacing w:before="60" w:after="60"/>
              <w:jc w:val="center"/>
            </w:pPr>
            <w:r>
              <w:rPr>
                <w:rFonts w:ascii="Calibri" w:eastAsia="Calibri" w:hAnsi="Calibri" w:cs="Calibri"/>
                <w:color w:val="000000"/>
                <w:sz w:val="19"/>
                <w:szCs w:val="19"/>
              </w:rPr>
              <w:t>0.9824</w:t>
            </w:r>
          </w:p>
        </w:tc>
        <w:tc>
          <w:tcPr>
            <w:tcW w:w="1000" w:type="dxa"/>
            <w:shd w:val="clear" w:color="auto" w:fill="FFFFFF"/>
            <w:vAlign w:val="center"/>
          </w:tcPr>
          <w:p w14:paraId="565C2A1E" w14:textId="77777777" w:rsidR="007E00E9" w:rsidRDefault="00000000">
            <w:pPr>
              <w:spacing w:before="60" w:after="60"/>
              <w:jc w:val="center"/>
            </w:pPr>
            <w:r>
              <w:rPr>
                <w:rFonts w:ascii="Calibri" w:eastAsia="Calibri" w:hAnsi="Calibri" w:cs="Calibri"/>
                <w:color w:val="000000"/>
                <w:sz w:val="19"/>
                <w:szCs w:val="19"/>
              </w:rPr>
              <w:t>0.0047</w:t>
            </w:r>
          </w:p>
        </w:tc>
        <w:tc>
          <w:tcPr>
            <w:tcW w:w="1000" w:type="dxa"/>
            <w:shd w:val="clear" w:color="auto" w:fill="FFFFFF"/>
            <w:vAlign w:val="center"/>
          </w:tcPr>
          <w:p w14:paraId="28C8AD8C" w14:textId="77777777" w:rsidR="007E00E9" w:rsidRDefault="00000000">
            <w:pPr>
              <w:spacing w:before="60" w:after="60"/>
              <w:jc w:val="center"/>
            </w:pPr>
            <w:r>
              <w:rPr>
                <w:rFonts w:ascii="Calibri" w:eastAsia="Calibri" w:hAnsi="Calibri" w:cs="Calibri"/>
                <w:color w:val="000000"/>
                <w:sz w:val="19"/>
                <w:szCs w:val="19"/>
              </w:rPr>
              <w:t>0.0184</w:t>
            </w:r>
          </w:p>
        </w:tc>
        <w:tc>
          <w:tcPr>
            <w:tcW w:w="1000" w:type="dxa"/>
            <w:shd w:val="clear" w:color="auto" w:fill="FFFFFF"/>
            <w:vAlign w:val="center"/>
          </w:tcPr>
          <w:p w14:paraId="35B695DF" w14:textId="77777777" w:rsidR="007E00E9" w:rsidRDefault="00000000">
            <w:pPr>
              <w:spacing w:before="60" w:after="60"/>
              <w:jc w:val="center"/>
            </w:pPr>
            <w:r>
              <w:rPr>
                <w:rFonts w:ascii="Calibri" w:eastAsia="Calibri" w:hAnsi="Calibri" w:cs="Calibri"/>
                <w:color w:val="000000"/>
                <w:sz w:val="19"/>
                <w:szCs w:val="19"/>
              </w:rPr>
              <w:t>3</w:t>
            </w:r>
          </w:p>
        </w:tc>
        <w:tc>
          <w:tcPr>
            <w:tcW w:w="1500" w:type="dxa"/>
            <w:shd w:val="clear" w:color="auto" w:fill="FFFFFF"/>
            <w:vAlign w:val="center"/>
          </w:tcPr>
          <w:p w14:paraId="38A066D3" w14:textId="77777777" w:rsidR="007E00E9" w:rsidRDefault="00000000">
            <w:pPr>
              <w:spacing w:before="60" w:after="60"/>
              <w:jc w:val="center"/>
            </w:pPr>
            <w:r>
              <w:rPr>
                <w:rFonts w:ascii="Calibri" w:eastAsia="Calibri" w:hAnsi="Calibri" w:cs="Calibri"/>
                <w:b/>
                <w:bCs/>
                <w:color w:val="CC0000"/>
                <w:sz w:val="19"/>
                <w:szCs w:val="19"/>
              </w:rPr>
              <w:t>FAIL</w:t>
            </w:r>
          </w:p>
        </w:tc>
      </w:tr>
      <w:tr w:rsidR="007E00E9" w14:paraId="288C4838" w14:textId="77777777">
        <w:tblPrEx>
          <w:tblCellMar>
            <w:top w:w="0" w:type="dxa"/>
            <w:bottom w:w="0" w:type="dxa"/>
          </w:tblCellMar>
        </w:tblPrEx>
        <w:tc>
          <w:tcPr>
            <w:tcW w:w="2100" w:type="dxa"/>
            <w:shd w:val="clear" w:color="auto" w:fill="F2F2F2"/>
            <w:vAlign w:val="center"/>
          </w:tcPr>
          <w:p w14:paraId="102FD79F" w14:textId="77777777" w:rsidR="007E00E9" w:rsidRDefault="00000000">
            <w:pPr>
              <w:spacing w:before="60" w:after="60"/>
            </w:pPr>
            <w:r>
              <w:rPr>
                <w:rFonts w:ascii="Calibri" w:eastAsia="Calibri" w:hAnsi="Calibri" w:cs="Calibri"/>
                <w:color w:val="000000"/>
                <w:sz w:val="19"/>
                <w:szCs w:val="19"/>
              </w:rPr>
              <w:t>Parametric</w:t>
            </w:r>
          </w:p>
        </w:tc>
        <w:tc>
          <w:tcPr>
            <w:tcW w:w="1100" w:type="dxa"/>
            <w:shd w:val="clear" w:color="auto" w:fill="F2F2F2"/>
            <w:vAlign w:val="center"/>
          </w:tcPr>
          <w:p w14:paraId="166F9BA6" w14:textId="77777777" w:rsidR="007E00E9" w:rsidRDefault="00000000">
            <w:pPr>
              <w:spacing w:before="60" w:after="60"/>
              <w:jc w:val="center"/>
            </w:pPr>
            <w:r>
              <w:rPr>
                <w:rFonts w:ascii="Calibri" w:eastAsia="Calibri" w:hAnsi="Calibri" w:cs="Calibri"/>
                <w:color w:val="000000"/>
                <w:sz w:val="19"/>
                <w:szCs w:val="19"/>
              </w:rPr>
              <w:t>COMEX Gold</w:t>
            </w:r>
          </w:p>
        </w:tc>
        <w:tc>
          <w:tcPr>
            <w:tcW w:w="800" w:type="dxa"/>
            <w:shd w:val="clear" w:color="auto" w:fill="F2F2F2"/>
            <w:vAlign w:val="center"/>
          </w:tcPr>
          <w:p w14:paraId="52B2DB36" w14:textId="77777777" w:rsidR="007E00E9" w:rsidRDefault="00000000">
            <w:pPr>
              <w:spacing w:before="60" w:after="60"/>
              <w:jc w:val="center"/>
            </w:pPr>
            <w:r>
              <w:rPr>
                <w:rFonts w:ascii="Calibri" w:eastAsia="Calibri" w:hAnsi="Calibri" w:cs="Calibri"/>
                <w:color w:val="000000"/>
                <w:sz w:val="19"/>
                <w:szCs w:val="19"/>
              </w:rPr>
              <w:t>95%</w:t>
            </w:r>
          </w:p>
        </w:tc>
        <w:tc>
          <w:tcPr>
            <w:tcW w:w="1000" w:type="dxa"/>
            <w:shd w:val="clear" w:color="auto" w:fill="F2F2F2"/>
            <w:vAlign w:val="center"/>
          </w:tcPr>
          <w:p w14:paraId="32909164" w14:textId="77777777" w:rsidR="007E00E9" w:rsidRDefault="00000000">
            <w:pPr>
              <w:spacing w:before="60" w:after="60"/>
              <w:jc w:val="center"/>
            </w:pPr>
            <w:r>
              <w:rPr>
                <w:rFonts w:ascii="Calibri" w:eastAsia="Calibri" w:hAnsi="Calibri" w:cs="Calibri"/>
                <w:color w:val="000000"/>
                <w:sz w:val="19"/>
                <w:szCs w:val="19"/>
              </w:rPr>
              <w:t>0.3728</w:t>
            </w:r>
          </w:p>
        </w:tc>
        <w:tc>
          <w:tcPr>
            <w:tcW w:w="1000" w:type="dxa"/>
            <w:shd w:val="clear" w:color="auto" w:fill="F2F2F2"/>
            <w:vAlign w:val="center"/>
          </w:tcPr>
          <w:p w14:paraId="6F267CF2" w14:textId="77777777" w:rsidR="007E00E9" w:rsidRDefault="00000000">
            <w:pPr>
              <w:spacing w:before="60" w:after="60"/>
              <w:jc w:val="center"/>
            </w:pPr>
            <w:r>
              <w:rPr>
                <w:rFonts w:ascii="Calibri" w:eastAsia="Calibri" w:hAnsi="Calibri" w:cs="Calibri"/>
                <w:color w:val="000000"/>
                <w:sz w:val="19"/>
                <w:szCs w:val="19"/>
              </w:rPr>
              <w:t>0.6097</w:t>
            </w:r>
          </w:p>
        </w:tc>
        <w:tc>
          <w:tcPr>
            <w:tcW w:w="1000" w:type="dxa"/>
            <w:shd w:val="clear" w:color="auto" w:fill="F2F2F2"/>
            <w:vAlign w:val="center"/>
          </w:tcPr>
          <w:p w14:paraId="32944507" w14:textId="77777777" w:rsidR="007E00E9" w:rsidRDefault="00000000">
            <w:pPr>
              <w:spacing w:before="60" w:after="60"/>
              <w:jc w:val="center"/>
            </w:pPr>
            <w:r>
              <w:rPr>
                <w:rFonts w:ascii="Calibri" w:eastAsia="Calibri" w:hAnsi="Calibri" w:cs="Calibri"/>
                <w:color w:val="000000"/>
                <w:sz w:val="19"/>
                <w:szCs w:val="19"/>
              </w:rPr>
              <w:t>0.5901</w:t>
            </w:r>
          </w:p>
        </w:tc>
        <w:tc>
          <w:tcPr>
            <w:tcW w:w="1000" w:type="dxa"/>
            <w:shd w:val="clear" w:color="auto" w:fill="F2F2F2"/>
            <w:vAlign w:val="center"/>
          </w:tcPr>
          <w:p w14:paraId="7D28F3C8" w14:textId="77777777" w:rsidR="007E00E9" w:rsidRDefault="00000000">
            <w:pPr>
              <w:spacing w:before="60" w:after="60"/>
              <w:jc w:val="center"/>
            </w:pPr>
            <w:r>
              <w:rPr>
                <w:rFonts w:ascii="Calibri" w:eastAsia="Calibri" w:hAnsi="Calibri" w:cs="Calibri"/>
                <w:color w:val="000000"/>
                <w:sz w:val="19"/>
                <w:szCs w:val="19"/>
              </w:rPr>
              <w:t>9</w:t>
            </w:r>
          </w:p>
        </w:tc>
        <w:tc>
          <w:tcPr>
            <w:tcW w:w="1500" w:type="dxa"/>
            <w:shd w:val="clear" w:color="auto" w:fill="F2F2F2"/>
            <w:vAlign w:val="center"/>
          </w:tcPr>
          <w:p w14:paraId="271D427C" w14:textId="77777777" w:rsidR="007E00E9" w:rsidRDefault="00000000">
            <w:pPr>
              <w:spacing w:before="60" w:after="60"/>
              <w:jc w:val="center"/>
            </w:pPr>
            <w:r>
              <w:rPr>
                <w:rFonts w:ascii="Calibri" w:eastAsia="Calibri" w:hAnsi="Calibri" w:cs="Calibri"/>
                <w:b/>
                <w:bCs/>
                <w:color w:val="007A4D"/>
                <w:sz w:val="19"/>
                <w:szCs w:val="19"/>
              </w:rPr>
              <w:t>PASS</w:t>
            </w:r>
          </w:p>
        </w:tc>
      </w:tr>
      <w:tr w:rsidR="007E00E9" w14:paraId="7D9D144F" w14:textId="77777777">
        <w:tblPrEx>
          <w:tblCellMar>
            <w:top w:w="0" w:type="dxa"/>
            <w:bottom w:w="0" w:type="dxa"/>
          </w:tblCellMar>
        </w:tblPrEx>
        <w:tc>
          <w:tcPr>
            <w:tcW w:w="2100" w:type="dxa"/>
            <w:shd w:val="clear" w:color="auto" w:fill="FFFFFF"/>
            <w:vAlign w:val="center"/>
          </w:tcPr>
          <w:p w14:paraId="28BB5686" w14:textId="77777777" w:rsidR="007E00E9" w:rsidRDefault="00000000">
            <w:pPr>
              <w:spacing w:before="60" w:after="60"/>
            </w:pPr>
            <w:r>
              <w:rPr>
                <w:rFonts w:ascii="Calibri" w:eastAsia="Calibri" w:hAnsi="Calibri" w:cs="Calibri"/>
                <w:color w:val="000000"/>
                <w:sz w:val="19"/>
                <w:szCs w:val="19"/>
              </w:rPr>
              <w:t>Parametric</w:t>
            </w:r>
          </w:p>
        </w:tc>
        <w:tc>
          <w:tcPr>
            <w:tcW w:w="1100" w:type="dxa"/>
            <w:shd w:val="clear" w:color="auto" w:fill="FFFFFF"/>
            <w:vAlign w:val="center"/>
          </w:tcPr>
          <w:p w14:paraId="35F325C7" w14:textId="77777777" w:rsidR="007E00E9" w:rsidRDefault="00000000">
            <w:pPr>
              <w:spacing w:before="60" w:after="60"/>
              <w:jc w:val="center"/>
            </w:pPr>
            <w:r>
              <w:rPr>
                <w:rFonts w:ascii="Calibri" w:eastAsia="Calibri" w:hAnsi="Calibri" w:cs="Calibri"/>
                <w:color w:val="000000"/>
                <w:sz w:val="19"/>
                <w:szCs w:val="19"/>
              </w:rPr>
              <w:t>COMEX Gold</w:t>
            </w:r>
          </w:p>
        </w:tc>
        <w:tc>
          <w:tcPr>
            <w:tcW w:w="800" w:type="dxa"/>
            <w:shd w:val="clear" w:color="auto" w:fill="FFFFFF"/>
            <w:vAlign w:val="center"/>
          </w:tcPr>
          <w:p w14:paraId="4BFD07A1" w14:textId="77777777" w:rsidR="007E00E9" w:rsidRDefault="00000000">
            <w:pPr>
              <w:spacing w:before="60" w:after="60"/>
              <w:jc w:val="center"/>
            </w:pPr>
            <w:r>
              <w:rPr>
                <w:rFonts w:ascii="Calibri" w:eastAsia="Calibri" w:hAnsi="Calibri" w:cs="Calibri"/>
                <w:color w:val="000000"/>
                <w:sz w:val="19"/>
                <w:szCs w:val="19"/>
              </w:rPr>
              <w:t>99%</w:t>
            </w:r>
          </w:p>
        </w:tc>
        <w:tc>
          <w:tcPr>
            <w:tcW w:w="1000" w:type="dxa"/>
            <w:shd w:val="clear" w:color="auto" w:fill="FFFFFF"/>
            <w:vAlign w:val="center"/>
          </w:tcPr>
          <w:p w14:paraId="451A7824" w14:textId="77777777" w:rsidR="007E00E9" w:rsidRDefault="00000000">
            <w:pPr>
              <w:spacing w:before="60" w:after="60"/>
              <w:jc w:val="center"/>
            </w:pPr>
            <w:r>
              <w:rPr>
                <w:rFonts w:ascii="Calibri" w:eastAsia="Calibri" w:hAnsi="Calibri" w:cs="Calibri"/>
                <w:color w:val="000000"/>
                <w:sz w:val="19"/>
                <w:szCs w:val="19"/>
              </w:rPr>
              <w:t>0.0001</w:t>
            </w:r>
          </w:p>
        </w:tc>
        <w:tc>
          <w:tcPr>
            <w:tcW w:w="1000" w:type="dxa"/>
            <w:shd w:val="clear" w:color="auto" w:fill="FFFFFF"/>
            <w:vAlign w:val="center"/>
          </w:tcPr>
          <w:p w14:paraId="237FCFF3" w14:textId="77777777" w:rsidR="007E00E9" w:rsidRDefault="00000000">
            <w:pPr>
              <w:spacing w:before="60" w:after="60"/>
              <w:jc w:val="center"/>
            </w:pPr>
            <w:r>
              <w:rPr>
                <w:rFonts w:ascii="Calibri" w:eastAsia="Calibri" w:hAnsi="Calibri" w:cs="Calibri"/>
                <w:color w:val="000000"/>
                <w:sz w:val="19"/>
                <w:szCs w:val="19"/>
              </w:rPr>
              <w:t>0.0254</w:t>
            </w:r>
          </w:p>
        </w:tc>
        <w:tc>
          <w:tcPr>
            <w:tcW w:w="1000" w:type="dxa"/>
            <w:shd w:val="clear" w:color="auto" w:fill="FFFFFF"/>
            <w:vAlign w:val="center"/>
          </w:tcPr>
          <w:p w14:paraId="79597311" w14:textId="77777777" w:rsidR="007E00E9" w:rsidRDefault="00000000">
            <w:pPr>
              <w:spacing w:before="60" w:after="60"/>
              <w:jc w:val="center"/>
            </w:pPr>
            <w:r>
              <w:rPr>
                <w:rFonts w:ascii="Calibri" w:eastAsia="Calibri" w:hAnsi="Calibri" w:cs="Calibri"/>
                <w:color w:val="000000"/>
                <w:sz w:val="19"/>
                <w:szCs w:val="19"/>
              </w:rPr>
              <w:t>0.0000</w:t>
            </w:r>
          </w:p>
        </w:tc>
        <w:tc>
          <w:tcPr>
            <w:tcW w:w="1000" w:type="dxa"/>
            <w:shd w:val="clear" w:color="auto" w:fill="FFFFFF"/>
            <w:vAlign w:val="center"/>
          </w:tcPr>
          <w:p w14:paraId="77A0528D" w14:textId="77777777" w:rsidR="007E00E9" w:rsidRDefault="00000000">
            <w:pPr>
              <w:spacing w:before="60" w:after="60"/>
              <w:jc w:val="center"/>
            </w:pPr>
            <w:r>
              <w:rPr>
                <w:rFonts w:ascii="Calibri" w:eastAsia="Calibri" w:hAnsi="Calibri" w:cs="Calibri"/>
                <w:color w:val="000000"/>
                <w:sz w:val="19"/>
                <w:szCs w:val="19"/>
              </w:rPr>
              <w:t>4</w:t>
            </w:r>
          </w:p>
        </w:tc>
        <w:tc>
          <w:tcPr>
            <w:tcW w:w="1500" w:type="dxa"/>
            <w:shd w:val="clear" w:color="auto" w:fill="FFFFFF"/>
            <w:vAlign w:val="center"/>
          </w:tcPr>
          <w:p w14:paraId="5C8BE355" w14:textId="77777777" w:rsidR="007E00E9" w:rsidRDefault="00000000">
            <w:pPr>
              <w:spacing w:before="60" w:after="60"/>
              <w:jc w:val="center"/>
            </w:pPr>
            <w:r>
              <w:rPr>
                <w:rFonts w:ascii="Calibri" w:eastAsia="Calibri" w:hAnsi="Calibri" w:cs="Calibri"/>
                <w:b/>
                <w:bCs/>
                <w:color w:val="CC0000"/>
                <w:sz w:val="19"/>
                <w:szCs w:val="19"/>
              </w:rPr>
              <w:t>FAIL</w:t>
            </w:r>
          </w:p>
        </w:tc>
      </w:tr>
      <w:tr w:rsidR="007E00E9" w14:paraId="74CF5517" w14:textId="77777777">
        <w:tblPrEx>
          <w:tblCellMar>
            <w:top w:w="0" w:type="dxa"/>
            <w:bottom w:w="0" w:type="dxa"/>
          </w:tblCellMar>
        </w:tblPrEx>
        <w:tc>
          <w:tcPr>
            <w:tcW w:w="2100" w:type="dxa"/>
            <w:shd w:val="clear" w:color="auto" w:fill="F2F2F2"/>
            <w:vAlign w:val="center"/>
          </w:tcPr>
          <w:p w14:paraId="0E211223" w14:textId="77777777" w:rsidR="007E00E9" w:rsidRDefault="00000000">
            <w:pPr>
              <w:spacing w:before="60" w:after="60"/>
            </w:pPr>
            <w:r>
              <w:rPr>
                <w:rFonts w:ascii="Calibri" w:eastAsia="Calibri" w:hAnsi="Calibri" w:cs="Calibri"/>
                <w:color w:val="000000"/>
                <w:sz w:val="19"/>
                <w:szCs w:val="19"/>
              </w:rPr>
              <w:t>GARCH-FHS</w:t>
            </w:r>
          </w:p>
        </w:tc>
        <w:tc>
          <w:tcPr>
            <w:tcW w:w="1100" w:type="dxa"/>
            <w:shd w:val="clear" w:color="auto" w:fill="F2F2F2"/>
            <w:vAlign w:val="center"/>
          </w:tcPr>
          <w:p w14:paraId="25C190DF" w14:textId="77777777" w:rsidR="007E00E9" w:rsidRDefault="00000000">
            <w:pPr>
              <w:spacing w:before="60" w:after="60"/>
              <w:jc w:val="center"/>
            </w:pPr>
            <w:r>
              <w:rPr>
                <w:rFonts w:ascii="Calibri" w:eastAsia="Calibri" w:hAnsi="Calibri" w:cs="Calibri"/>
                <w:color w:val="000000"/>
                <w:sz w:val="19"/>
                <w:szCs w:val="19"/>
              </w:rPr>
              <w:t>COMEX Gold</w:t>
            </w:r>
          </w:p>
        </w:tc>
        <w:tc>
          <w:tcPr>
            <w:tcW w:w="800" w:type="dxa"/>
            <w:shd w:val="clear" w:color="auto" w:fill="F2F2F2"/>
            <w:vAlign w:val="center"/>
          </w:tcPr>
          <w:p w14:paraId="0DDF91C8" w14:textId="77777777" w:rsidR="007E00E9" w:rsidRDefault="00000000">
            <w:pPr>
              <w:spacing w:before="60" w:after="60"/>
              <w:jc w:val="center"/>
            </w:pPr>
            <w:r>
              <w:rPr>
                <w:rFonts w:ascii="Calibri" w:eastAsia="Calibri" w:hAnsi="Calibri" w:cs="Calibri"/>
                <w:color w:val="000000"/>
                <w:sz w:val="19"/>
                <w:szCs w:val="19"/>
              </w:rPr>
              <w:t>95%</w:t>
            </w:r>
          </w:p>
        </w:tc>
        <w:tc>
          <w:tcPr>
            <w:tcW w:w="1000" w:type="dxa"/>
            <w:shd w:val="clear" w:color="auto" w:fill="F2F2F2"/>
            <w:vAlign w:val="center"/>
          </w:tcPr>
          <w:p w14:paraId="54E8662B" w14:textId="77777777" w:rsidR="007E00E9" w:rsidRDefault="00000000">
            <w:pPr>
              <w:spacing w:before="60" w:after="60"/>
              <w:jc w:val="center"/>
            </w:pPr>
            <w:r>
              <w:rPr>
                <w:rFonts w:ascii="Calibri" w:eastAsia="Calibri" w:hAnsi="Calibri" w:cs="Calibri"/>
                <w:color w:val="000000"/>
                <w:sz w:val="19"/>
                <w:szCs w:val="19"/>
              </w:rPr>
              <w:t>0.0095</w:t>
            </w:r>
          </w:p>
        </w:tc>
        <w:tc>
          <w:tcPr>
            <w:tcW w:w="1000" w:type="dxa"/>
            <w:shd w:val="clear" w:color="auto" w:fill="F2F2F2"/>
            <w:vAlign w:val="center"/>
          </w:tcPr>
          <w:p w14:paraId="72A46885" w14:textId="77777777" w:rsidR="007E00E9" w:rsidRDefault="00000000">
            <w:pPr>
              <w:spacing w:before="60" w:after="60"/>
              <w:jc w:val="center"/>
            </w:pPr>
            <w:r>
              <w:rPr>
                <w:rFonts w:ascii="Calibri" w:eastAsia="Calibri" w:hAnsi="Calibri" w:cs="Calibri"/>
                <w:color w:val="000000"/>
                <w:sz w:val="19"/>
                <w:szCs w:val="19"/>
              </w:rPr>
              <w:t>0.1946</w:t>
            </w:r>
          </w:p>
        </w:tc>
        <w:tc>
          <w:tcPr>
            <w:tcW w:w="1000" w:type="dxa"/>
            <w:shd w:val="clear" w:color="auto" w:fill="F2F2F2"/>
            <w:vAlign w:val="center"/>
          </w:tcPr>
          <w:p w14:paraId="284A9B8C" w14:textId="77777777" w:rsidR="007E00E9" w:rsidRDefault="00000000">
            <w:pPr>
              <w:spacing w:before="60" w:after="60"/>
              <w:jc w:val="center"/>
            </w:pPr>
            <w:r>
              <w:rPr>
                <w:rFonts w:ascii="Calibri" w:eastAsia="Calibri" w:hAnsi="Calibri" w:cs="Calibri"/>
                <w:color w:val="000000"/>
                <w:sz w:val="19"/>
                <w:szCs w:val="19"/>
              </w:rPr>
              <w:t>0.0149</w:t>
            </w:r>
          </w:p>
        </w:tc>
        <w:tc>
          <w:tcPr>
            <w:tcW w:w="1000" w:type="dxa"/>
            <w:shd w:val="clear" w:color="auto" w:fill="F2F2F2"/>
            <w:vAlign w:val="center"/>
          </w:tcPr>
          <w:p w14:paraId="513E0C9F" w14:textId="77777777" w:rsidR="007E00E9" w:rsidRDefault="00000000">
            <w:pPr>
              <w:spacing w:before="60" w:after="60"/>
              <w:jc w:val="center"/>
            </w:pPr>
            <w:r>
              <w:rPr>
                <w:rFonts w:ascii="Calibri" w:eastAsia="Calibri" w:hAnsi="Calibri" w:cs="Calibri"/>
                <w:color w:val="000000"/>
                <w:sz w:val="19"/>
                <w:szCs w:val="19"/>
              </w:rPr>
              <w:t>9</w:t>
            </w:r>
          </w:p>
        </w:tc>
        <w:tc>
          <w:tcPr>
            <w:tcW w:w="1500" w:type="dxa"/>
            <w:shd w:val="clear" w:color="auto" w:fill="F2F2F2"/>
            <w:vAlign w:val="center"/>
          </w:tcPr>
          <w:p w14:paraId="54770388" w14:textId="77777777" w:rsidR="007E00E9" w:rsidRDefault="00000000">
            <w:pPr>
              <w:spacing w:before="60" w:after="60"/>
              <w:jc w:val="center"/>
            </w:pPr>
            <w:r>
              <w:rPr>
                <w:rFonts w:ascii="Calibri" w:eastAsia="Calibri" w:hAnsi="Calibri" w:cs="Calibri"/>
                <w:b/>
                <w:bCs/>
                <w:color w:val="CC0000"/>
                <w:sz w:val="19"/>
                <w:szCs w:val="19"/>
              </w:rPr>
              <w:t>FAIL</w:t>
            </w:r>
          </w:p>
        </w:tc>
      </w:tr>
      <w:tr w:rsidR="007E00E9" w14:paraId="61C43F80" w14:textId="77777777">
        <w:tblPrEx>
          <w:tblCellMar>
            <w:top w:w="0" w:type="dxa"/>
            <w:bottom w:w="0" w:type="dxa"/>
          </w:tblCellMar>
        </w:tblPrEx>
        <w:tc>
          <w:tcPr>
            <w:tcW w:w="2100" w:type="dxa"/>
            <w:shd w:val="clear" w:color="auto" w:fill="FFFFFF"/>
            <w:vAlign w:val="center"/>
          </w:tcPr>
          <w:p w14:paraId="510047A5" w14:textId="77777777" w:rsidR="007E00E9" w:rsidRDefault="00000000">
            <w:pPr>
              <w:spacing w:before="60" w:after="60"/>
            </w:pPr>
            <w:r>
              <w:rPr>
                <w:rFonts w:ascii="Calibri" w:eastAsia="Calibri" w:hAnsi="Calibri" w:cs="Calibri"/>
                <w:color w:val="000000"/>
                <w:sz w:val="19"/>
                <w:szCs w:val="19"/>
              </w:rPr>
              <w:t>GARCH-FHS</w:t>
            </w:r>
          </w:p>
        </w:tc>
        <w:tc>
          <w:tcPr>
            <w:tcW w:w="1100" w:type="dxa"/>
            <w:shd w:val="clear" w:color="auto" w:fill="FFFFFF"/>
            <w:vAlign w:val="center"/>
          </w:tcPr>
          <w:p w14:paraId="12C95B30" w14:textId="77777777" w:rsidR="007E00E9" w:rsidRDefault="00000000">
            <w:pPr>
              <w:spacing w:before="60" w:after="60"/>
              <w:jc w:val="center"/>
            </w:pPr>
            <w:r>
              <w:rPr>
                <w:rFonts w:ascii="Calibri" w:eastAsia="Calibri" w:hAnsi="Calibri" w:cs="Calibri"/>
                <w:color w:val="000000"/>
                <w:sz w:val="19"/>
                <w:szCs w:val="19"/>
              </w:rPr>
              <w:t>COMEX Gold</w:t>
            </w:r>
          </w:p>
        </w:tc>
        <w:tc>
          <w:tcPr>
            <w:tcW w:w="800" w:type="dxa"/>
            <w:shd w:val="clear" w:color="auto" w:fill="FFFFFF"/>
            <w:vAlign w:val="center"/>
          </w:tcPr>
          <w:p w14:paraId="51BBF689" w14:textId="77777777" w:rsidR="007E00E9" w:rsidRDefault="00000000">
            <w:pPr>
              <w:spacing w:before="60" w:after="60"/>
              <w:jc w:val="center"/>
            </w:pPr>
            <w:r>
              <w:rPr>
                <w:rFonts w:ascii="Calibri" w:eastAsia="Calibri" w:hAnsi="Calibri" w:cs="Calibri"/>
                <w:color w:val="000000"/>
                <w:sz w:val="19"/>
                <w:szCs w:val="19"/>
              </w:rPr>
              <w:t>99%</w:t>
            </w:r>
          </w:p>
        </w:tc>
        <w:tc>
          <w:tcPr>
            <w:tcW w:w="1000" w:type="dxa"/>
            <w:shd w:val="clear" w:color="auto" w:fill="FFFFFF"/>
            <w:vAlign w:val="center"/>
          </w:tcPr>
          <w:p w14:paraId="32EDC528" w14:textId="77777777" w:rsidR="007E00E9" w:rsidRDefault="00000000">
            <w:pPr>
              <w:spacing w:before="60" w:after="60"/>
              <w:jc w:val="center"/>
            </w:pPr>
            <w:r>
              <w:rPr>
                <w:rFonts w:ascii="Calibri" w:eastAsia="Calibri" w:hAnsi="Calibri" w:cs="Calibri"/>
                <w:color w:val="000000"/>
                <w:sz w:val="19"/>
                <w:szCs w:val="19"/>
              </w:rPr>
              <w:t>0.7211</w:t>
            </w:r>
          </w:p>
        </w:tc>
        <w:tc>
          <w:tcPr>
            <w:tcW w:w="1000" w:type="dxa"/>
            <w:shd w:val="clear" w:color="auto" w:fill="FFFFFF"/>
            <w:vAlign w:val="center"/>
          </w:tcPr>
          <w:p w14:paraId="66B14BC6" w14:textId="77777777" w:rsidR="007E00E9" w:rsidRDefault="00000000">
            <w:pPr>
              <w:spacing w:before="60" w:after="60"/>
              <w:jc w:val="center"/>
            </w:pPr>
            <w:r>
              <w:rPr>
                <w:rFonts w:ascii="Calibri" w:eastAsia="Calibri" w:hAnsi="Calibri" w:cs="Calibri"/>
                <w:color w:val="000000"/>
                <w:sz w:val="19"/>
                <w:szCs w:val="19"/>
              </w:rPr>
              <w:t>0.0018</w:t>
            </w:r>
          </w:p>
        </w:tc>
        <w:tc>
          <w:tcPr>
            <w:tcW w:w="1000" w:type="dxa"/>
            <w:shd w:val="clear" w:color="auto" w:fill="FFFFFF"/>
            <w:vAlign w:val="center"/>
          </w:tcPr>
          <w:p w14:paraId="3AB4C645" w14:textId="77777777" w:rsidR="007E00E9" w:rsidRDefault="00000000">
            <w:pPr>
              <w:spacing w:before="60" w:after="60"/>
              <w:jc w:val="center"/>
            </w:pPr>
            <w:r>
              <w:rPr>
                <w:rFonts w:ascii="Calibri" w:eastAsia="Calibri" w:hAnsi="Calibri" w:cs="Calibri"/>
                <w:color w:val="000000"/>
                <w:sz w:val="19"/>
                <w:szCs w:val="19"/>
              </w:rPr>
              <w:t>0.0053</w:t>
            </w:r>
          </w:p>
        </w:tc>
        <w:tc>
          <w:tcPr>
            <w:tcW w:w="1000" w:type="dxa"/>
            <w:shd w:val="clear" w:color="auto" w:fill="FFFFFF"/>
            <w:vAlign w:val="center"/>
          </w:tcPr>
          <w:p w14:paraId="442708A7" w14:textId="77777777" w:rsidR="007E00E9" w:rsidRDefault="00000000">
            <w:pPr>
              <w:spacing w:before="60" w:after="60"/>
              <w:jc w:val="center"/>
            </w:pPr>
            <w:r>
              <w:rPr>
                <w:rFonts w:ascii="Calibri" w:eastAsia="Calibri" w:hAnsi="Calibri" w:cs="Calibri"/>
                <w:color w:val="000000"/>
                <w:sz w:val="19"/>
                <w:szCs w:val="19"/>
              </w:rPr>
              <w:t>3</w:t>
            </w:r>
          </w:p>
        </w:tc>
        <w:tc>
          <w:tcPr>
            <w:tcW w:w="1500" w:type="dxa"/>
            <w:shd w:val="clear" w:color="auto" w:fill="FFFFFF"/>
            <w:vAlign w:val="center"/>
          </w:tcPr>
          <w:p w14:paraId="2883C25D" w14:textId="77777777" w:rsidR="007E00E9" w:rsidRDefault="00000000">
            <w:pPr>
              <w:spacing w:before="60" w:after="60"/>
              <w:jc w:val="center"/>
            </w:pPr>
            <w:r>
              <w:rPr>
                <w:rFonts w:ascii="Calibri" w:eastAsia="Calibri" w:hAnsi="Calibri" w:cs="Calibri"/>
                <w:b/>
                <w:bCs/>
                <w:color w:val="CC0000"/>
                <w:sz w:val="19"/>
                <w:szCs w:val="19"/>
              </w:rPr>
              <w:t>FAIL</w:t>
            </w:r>
          </w:p>
        </w:tc>
      </w:tr>
    </w:tbl>
    <w:p w14:paraId="40C509E9" w14:textId="77777777" w:rsidR="007E00E9" w:rsidRDefault="00000000">
      <w:pPr>
        <w:spacing w:before="40" w:after="160"/>
        <w:jc w:val="center"/>
      </w:pPr>
      <w:r>
        <w:rPr>
          <w:rFonts w:ascii="Calibri" w:eastAsia="Calibri" w:hAnsi="Calibri" w:cs="Calibri"/>
          <w:i/>
          <w:iCs/>
          <w:color w:val="4A4A6A"/>
          <w:sz w:val="18"/>
          <w:szCs w:val="18"/>
        </w:rPr>
        <w:t>Table 5: Christoffersen Conditional Coverage Results. P_UC = unconditional coverage p-value; P_IND = independence p-value; P_CC = joint conditional coverage p-value; n11 = consecutive breach pairs.</w:t>
      </w:r>
    </w:p>
    <w:p w14:paraId="621A0583" w14:textId="77777777" w:rsidR="007E00E9" w:rsidRDefault="00000000">
      <w:pPr>
        <w:spacing w:after="100"/>
        <w:jc w:val="both"/>
      </w:pPr>
      <w:r>
        <w:rPr>
          <w:rFonts w:ascii="Calibri" w:eastAsia="Calibri" w:hAnsi="Calibri" w:cs="Calibri"/>
          <w:color w:val="000000"/>
          <w:sz w:val="22"/>
          <w:szCs w:val="22"/>
        </w:rPr>
        <w:t>The Christoffersen test reveals a critical finding that Kupiec alone missed entirely. Even for Historical Simulation on KSE-100 — which passed Kupiec with near-perfect p-values — the independence test fails decisively (P_IND &lt; 0.0001 at 95%). This means that VaR breaches in KSE-100 are significantly clustered in time: when the index breaches its VaR threshold on one day, it is significantly more likely to breach again on subsequent days.</w:t>
      </w:r>
    </w:p>
    <w:p w14:paraId="1B525293" w14:textId="77777777" w:rsidR="007E00E9" w:rsidRDefault="00000000">
      <w:pPr>
        <w:spacing w:after="100"/>
        <w:jc w:val="both"/>
      </w:pPr>
      <w:r>
        <w:rPr>
          <w:rFonts w:ascii="Calibri" w:eastAsia="Calibri" w:hAnsi="Calibri" w:cs="Calibri"/>
          <w:color w:val="000000"/>
          <w:sz w:val="22"/>
          <w:szCs w:val="22"/>
        </w:rPr>
        <w:t>The n11 column (consecutive breach pairs) quantifies this clustering: KSE-100 shows 24-27 consecutive breach pairs at 95% depending on the method, far more than would be expected under independence. The breach plots (Figures 17-18) make this clustering visually clear.</w:t>
      </w:r>
    </w:p>
    <w:p w14:paraId="40369F07" w14:textId="77777777" w:rsidR="007E00E9" w:rsidRDefault="00000000">
      <w:pPr>
        <w:spacing w:after="100"/>
        <w:jc w:val="both"/>
      </w:pPr>
      <w:r>
        <w:rPr>
          <w:rFonts w:ascii="Calibri" w:eastAsia="Calibri" w:hAnsi="Calibri" w:cs="Calibri"/>
          <w:color w:val="000000"/>
          <w:sz w:val="22"/>
          <w:szCs w:val="22"/>
        </w:rPr>
        <w:t xml:space="preserve">Only two method-asset-confidence combinations pass the full Christoffersen test: Historical Simulation on COMEX Gold at 95% (P_CC = 0.748) and Parametric on COMEX Gold at 95% (P_CC = 0.590). This suggests that gold's breach dynamics at the 95% level are more consistent with </w:t>
      </w:r>
      <w:r>
        <w:rPr>
          <w:rFonts w:ascii="Calibri" w:eastAsia="Calibri" w:hAnsi="Calibri" w:cs="Calibri"/>
          <w:color w:val="000000"/>
          <w:sz w:val="22"/>
          <w:szCs w:val="22"/>
        </w:rPr>
        <w:lastRenderedPageBreak/>
        <w:t>independence — a reasonable finding given gold's different liquidity structure and global market depth compared to KSE-100.</w:t>
      </w:r>
    </w:p>
    <w:p w14:paraId="0A7FB047" w14:textId="77777777" w:rsidR="007E00E9" w:rsidRDefault="00000000">
      <w:pPr>
        <w:spacing w:after="100"/>
        <w:jc w:val="both"/>
      </w:pPr>
      <w:r>
        <w:rPr>
          <w:rFonts w:ascii="Calibri" w:eastAsia="Calibri" w:hAnsi="Calibri" w:cs="Calibri"/>
          <w:color w:val="000000"/>
          <w:sz w:val="22"/>
          <w:szCs w:val="22"/>
        </w:rPr>
        <w:t>The systematic failure of the independence test for KSE-100 is an important result: it indicates that no static, single-regime VaR model can fully eliminate breach clustering in Pakistani equities. Volatility regimes persist — when one bad day occurs in the KSE-100, more tend to follow. Addressing this limitation would require a regime-switching VaR model, dynamic conditional correlation structure, or intraday volatility updating, all of which are beyond the scope of this project and noted as avenues for future research.</w:t>
      </w:r>
    </w:p>
    <w:p w14:paraId="5F9A5A60" w14:textId="77777777" w:rsidR="007E00E9" w:rsidRDefault="00000000">
      <w:r>
        <w:br w:type="page"/>
      </w:r>
    </w:p>
    <w:p w14:paraId="3F89F2C3" w14:textId="77777777" w:rsidR="007E00E9" w:rsidRDefault="00000000">
      <w:pPr>
        <w:pStyle w:val="Heading1"/>
        <w:pBdr>
          <w:bottom w:val="single" w:sz="6" w:space="0" w:color="2C7BB6"/>
        </w:pBdr>
      </w:pPr>
      <w:r>
        <w:lastRenderedPageBreak/>
        <w:t>7. Discussion and Conclusion</w:t>
      </w:r>
    </w:p>
    <w:p w14:paraId="2A32ED2C" w14:textId="77777777" w:rsidR="007E00E9" w:rsidRDefault="00000000">
      <w:pPr>
        <w:pStyle w:val="Heading2"/>
        <w:spacing w:before="280"/>
      </w:pPr>
      <w:r>
        <w:t>7.1 Summary of Key Findings</w:t>
      </w:r>
    </w:p>
    <w:p w14:paraId="7EC16BA6" w14:textId="77777777" w:rsidR="007E00E9" w:rsidRDefault="00000000">
      <w:pPr>
        <w:spacing w:after="100"/>
        <w:jc w:val="both"/>
      </w:pPr>
      <w:r>
        <w:rPr>
          <w:rFonts w:ascii="Calibri" w:eastAsia="Calibri" w:hAnsi="Calibri" w:cs="Calibri"/>
          <w:color w:val="000000"/>
          <w:sz w:val="22"/>
          <w:szCs w:val="22"/>
        </w:rPr>
        <w:t>This report has demonstrated five principal findings across the KSE-100 and COMEX Gold return series for the period 2010-2024.</w:t>
      </w:r>
    </w:p>
    <w:p w14:paraId="5D4BC81F" w14:textId="77777777" w:rsidR="007E00E9" w:rsidRDefault="00000000">
      <w:pPr>
        <w:spacing w:after="100"/>
        <w:jc w:val="both"/>
      </w:pPr>
      <w:r>
        <w:rPr>
          <w:rFonts w:ascii="Calibri" w:eastAsia="Calibri" w:hAnsi="Calibri" w:cs="Calibri"/>
          <w:color w:val="000000"/>
          <w:sz w:val="22"/>
          <w:szCs w:val="22"/>
        </w:rPr>
        <w:t>First, both return series decisively reject normality. Excess kurtosis of 3.98 (KSE-100) and 8.87 (COMEX Gold), combined with negative skewness and Jarque-Bera statistics in the thousands, confirm that fat tails and asymmetry are dominant features of both markets. Any risk model that assumes normality will systematically underestimate extreme losses.</w:t>
      </w:r>
    </w:p>
    <w:p w14:paraId="3F49412D" w14:textId="77777777" w:rsidR="007E00E9" w:rsidRDefault="00000000">
      <w:pPr>
        <w:spacing w:after="100"/>
        <w:jc w:val="both"/>
      </w:pPr>
      <w:r>
        <w:rPr>
          <w:rFonts w:ascii="Calibri" w:eastAsia="Calibri" w:hAnsi="Calibri" w:cs="Calibri"/>
          <w:color w:val="000000"/>
          <w:sz w:val="22"/>
          <w:szCs w:val="22"/>
        </w:rPr>
        <w:t>Second, the Parametric method fails at the 99% confidence level for both assets. The Kupiec test confirms that it produces more than double the theoretical breach frequency — 75 breaches vs 34.9 expected for KSE-100. The 99% ES gap of 129 basis points relative to Historical Simulation has direct capital adequacy implications for institutions using the normal assumption.</w:t>
      </w:r>
    </w:p>
    <w:p w14:paraId="7856351C" w14:textId="77777777" w:rsidR="007E00E9" w:rsidRDefault="00000000">
      <w:pPr>
        <w:spacing w:after="100"/>
        <w:jc w:val="both"/>
      </w:pPr>
      <w:r>
        <w:rPr>
          <w:rFonts w:ascii="Calibri" w:eastAsia="Calibri" w:hAnsi="Calibri" w:cs="Calibri"/>
          <w:color w:val="000000"/>
          <w:sz w:val="22"/>
          <w:szCs w:val="22"/>
        </w:rPr>
        <w:t>Third, Historical Simulation is the most reliable method across both assets, passing all Kupiec tests with near-perfect calibration. Its non-parametric nature allows it to capture fat tails without imposing distributional assumptions.</w:t>
      </w:r>
    </w:p>
    <w:p w14:paraId="1E40643E" w14:textId="77777777" w:rsidR="007E00E9" w:rsidRDefault="00000000">
      <w:pPr>
        <w:spacing w:after="100"/>
        <w:jc w:val="both"/>
      </w:pPr>
      <w:r>
        <w:rPr>
          <w:rFonts w:ascii="Calibri" w:eastAsia="Calibri" w:hAnsi="Calibri" w:cs="Calibri"/>
          <w:color w:val="000000"/>
          <w:sz w:val="22"/>
          <w:szCs w:val="22"/>
        </w:rPr>
        <w:t>Fourth, GARCH-FHS performs competitively at 99% for gold and demonstrates the key advantage of time-varying volatility estimation: it correctly identified that gold's risk was elevated at the end of the sample period. However, its performance at 95% is inconsistent, and it fails Kupiec at KSE-100's 99% level.</w:t>
      </w:r>
    </w:p>
    <w:p w14:paraId="275255BF" w14:textId="77777777" w:rsidR="007E00E9" w:rsidRDefault="00000000">
      <w:pPr>
        <w:spacing w:after="100"/>
        <w:jc w:val="both"/>
      </w:pPr>
      <w:r>
        <w:rPr>
          <w:rFonts w:ascii="Calibri" w:eastAsia="Calibri" w:hAnsi="Calibri" w:cs="Calibri"/>
          <w:color w:val="000000"/>
          <w:sz w:val="22"/>
          <w:szCs w:val="22"/>
        </w:rPr>
        <w:t>Fifth, the Christoffersen test reveals systematic breach clustering in KSE-100 that no static model resolves. This is a structural feature of the market — volatility regimes persist — and represents the binding constraint on VaR model performance in Pakistani equities.</w:t>
      </w:r>
    </w:p>
    <w:p w14:paraId="1CB05535" w14:textId="77777777" w:rsidR="007E00E9" w:rsidRDefault="00000000">
      <w:pPr>
        <w:pStyle w:val="Heading2"/>
        <w:spacing w:before="280"/>
      </w:pPr>
      <w:r>
        <w:t>7.2 Practical Implications</w:t>
      </w:r>
    </w:p>
    <w:p w14:paraId="33C19D68" w14:textId="77777777" w:rsidR="007E00E9" w:rsidRDefault="00000000">
      <w:pPr>
        <w:spacing w:after="100"/>
        <w:jc w:val="both"/>
      </w:pPr>
      <w:r>
        <w:rPr>
          <w:rFonts w:ascii="Calibri" w:eastAsia="Calibri" w:hAnsi="Calibri" w:cs="Calibri"/>
          <w:color w:val="000000"/>
          <w:sz w:val="22"/>
          <w:szCs w:val="22"/>
        </w:rPr>
        <w:t>For Pakistani financial institutions and fund managers with KSE-100 exposure: Historical Simulation at 99% is the most defensible risk measure for capital adequacy purposes. The Parametric method should not be used for tail risk measurement given its systematic failure at high confidence levels. GARCH-based approaches are valuable for detecting current volatility regime, particularly for anticipating periods of elevated risk.</w:t>
      </w:r>
    </w:p>
    <w:p w14:paraId="25C07FBE" w14:textId="77777777" w:rsidR="007E00E9" w:rsidRDefault="00000000">
      <w:pPr>
        <w:spacing w:after="100"/>
        <w:jc w:val="both"/>
      </w:pPr>
      <w:r>
        <w:rPr>
          <w:rFonts w:ascii="Calibri" w:eastAsia="Calibri" w:hAnsi="Calibri" w:cs="Calibri"/>
          <w:color w:val="000000"/>
          <w:sz w:val="22"/>
          <w:szCs w:val="22"/>
        </w:rPr>
        <w:t>For commodity risk managers with gold exposure: all three methods perform acceptably at 95%, but the Parametric method again fails at 99%. GARCH-FHS provides the most forward-looking estimate when gold is in an elevated volatility regime.</w:t>
      </w:r>
    </w:p>
    <w:p w14:paraId="64F15125" w14:textId="77777777" w:rsidR="007E00E9" w:rsidRDefault="00000000">
      <w:pPr>
        <w:spacing w:after="100"/>
        <w:jc w:val="both"/>
      </w:pPr>
      <w:r>
        <w:rPr>
          <w:rFonts w:ascii="Calibri" w:eastAsia="Calibri" w:hAnsi="Calibri" w:cs="Calibri"/>
          <w:color w:val="000000"/>
          <w:sz w:val="22"/>
          <w:szCs w:val="22"/>
        </w:rPr>
        <w:t>The breach clustering finding implies that risk managers should apply volatility multipliers or stress buffers on top of standard VaR estimates during episodes of market turbulence, particularly for KSE-100 positions.</w:t>
      </w:r>
    </w:p>
    <w:p w14:paraId="18C2F054" w14:textId="77777777" w:rsidR="007E00E9" w:rsidRDefault="00000000">
      <w:pPr>
        <w:pStyle w:val="Heading2"/>
        <w:spacing w:before="280"/>
      </w:pPr>
      <w:r>
        <w:t>7.3 Limitations and Future Research</w:t>
      </w:r>
    </w:p>
    <w:p w14:paraId="098A91F9" w14:textId="77777777" w:rsidR="007E00E9" w:rsidRDefault="00000000">
      <w:pPr>
        <w:spacing w:after="100"/>
        <w:jc w:val="both"/>
      </w:pPr>
      <w:r>
        <w:rPr>
          <w:rFonts w:ascii="Calibri" w:eastAsia="Calibri" w:hAnsi="Calibri" w:cs="Calibri"/>
          <w:color w:val="000000"/>
          <w:sz w:val="22"/>
          <w:szCs w:val="22"/>
        </w:rPr>
        <w:t>Several limitations of this analysis warrant acknowledgment. The Filtered Historical Simulation uses the last single observation's conditional sigma as the forward-looking volatility estimate — a more robust approach would use a multi-step forecast. The Christoffersen test finds that breach clustering is not resolved by any method studied here; future work could examine regime-switching models (Markov-switching GARCH) or intraday volatility proxies.</w:t>
      </w:r>
    </w:p>
    <w:p w14:paraId="240EAD90" w14:textId="77777777" w:rsidR="007E00E9" w:rsidRDefault="00000000">
      <w:pPr>
        <w:spacing w:after="100"/>
        <w:jc w:val="both"/>
      </w:pPr>
      <w:r>
        <w:rPr>
          <w:rFonts w:ascii="Calibri" w:eastAsia="Calibri" w:hAnsi="Calibri" w:cs="Calibri"/>
          <w:color w:val="000000"/>
          <w:sz w:val="22"/>
          <w:szCs w:val="22"/>
        </w:rPr>
        <w:t xml:space="preserve">The KSE-100 dataset from Kaggle carries a caveat that its methodology for handling non-trading days may differ from official PSX data. Future work using directly sourced PSX historical data would eliminate this uncertainty. Additionally, the analysis covers a single bull market cycle for gold </w:t>
      </w:r>
      <w:r>
        <w:rPr>
          <w:rFonts w:ascii="Calibri" w:eastAsia="Calibri" w:hAnsi="Calibri" w:cs="Calibri"/>
          <w:color w:val="000000"/>
          <w:sz w:val="22"/>
          <w:szCs w:val="22"/>
        </w:rPr>
        <w:lastRenderedPageBreak/>
        <w:t>(2010-2024); extending to include the 1990s and 2000s would provide a richer test of tail risk models across full commodity cycles.</w:t>
      </w:r>
    </w:p>
    <w:p w14:paraId="62253850" w14:textId="77777777" w:rsidR="007E00E9" w:rsidRDefault="00000000">
      <w:pPr>
        <w:spacing w:after="100"/>
        <w:jc w:val="both"/>
      </w:pPr>
      <w:r>
        <w:rPr>
          <w:rFonts w:ascii="Calibri" w:eastAsia="Calibri" w:hAnsi="Calibri" w:cs="Calibri"/>
          <w:color w:val="000000"/>
          <w:sz w:val="22"/>
          <w:szCs w:val="22"/>
        </w:rPr>
        <w:t>Finally, this analysis treats the two assets independently. A natural extension would estimate portfolio VaR accounting for the diversification benefit (or lack thereof during crises) of combining KSE-100 and gold positions, using Dynamic Conditional Correlation or copula-based dependence models.</w:t>
      </w:r>
    </w:p>
    <w:p w14:paraId="48EE4E72" w14:textId="77777777" w:rsidR="007E00E9" w:rsidRDefault="00000000">
      <w:r>
        <w:br w:type="page"/>
      </w:r>
    </w:p>
    <w:p w14:paraId="79444F24" w14:textId="77777777" w:rsidR="007E00E9" w:rsidRDefault="00000000">
      <w:pPr>
        <w:pStyle w:val="Heading1"/>
        <w:pBdr>
          <w:bottom w:val="single" w:sz="6" w:space="0" w:color="2C7BB6"/>
        </w:pBdr>
      </w:pPr>
      <w:r>
        <w:lastRenderedPageBreak/>
        <w:t>References</w:t>
      </w:r>
    </w:p>
    <w:p w14:paraId="4C9D0F37" w14:textId="77777777" w:rsidR="007E00E9" w:rsidRDefault="00000000">
      <w:pPr>
        <w:spacing w:after="100"/>
        <w:jc w:val="both"/>
      </w:pPr>
      <w:r>
        <w:rPr>
          <w:rFonts w:ascii="Calibri" w:eastAsia="Calibri" w:hAnsi="Calibri" w:cs="Calibri"/>
          <w:color w:val="000000"/>
          <w:sz w:val="22"/>
          <w:szCs w:val="22"/>
        </w:rPr>
        <w:t>Artzner, P., Delbaen, F., Eber, J.-M., and Heath, D. (1999). Coherent measures of risk. Mathematical Finance, 9(3), 203-228.</w:t>
      </w:r>
    </w:p>
    <w:p w14:paraId="405D83A0" w14:textId="77777777" w:rsidR="007E00E9" w:rsidRDefault="00000000">
      <w:pPr>
        <w:spacing w:after="100"/>
        <w:jc w:val="both"/>
      </w:pPr>
      <w:r>
        <w:rPr>
          <w:rFonts w:ascii="Calibri" w:eastAsia="Calibri" w:hAnsi="Calibri" w:cs="Calibri"/>
          <w:color w:val="000000"/>
          <w:sz w:val="22"/>
          <w:szCs w:val="22"/>
        </w:rPr>
        <w:t>Basel Committee on Banking Supervision (2019). Minimum capital requirements for market risk. Bank for International Settlements.</w:t>
      </w:r>
    </w:p>
    <w:p w14:paraId="5E8F7860" w14:textId="77777777" w:rsidR="007E00E9" w:rsidRDefault="00000000">
      <w:pPr>
        <w:spacing w:after="100"/>
        <w:jc w:val="both"/>
      </w:pPr>
      <w:r>
        <w:rPr>
          <w:rFonts w:ascii="Calibri" w:eastAsia="Calibri" w:hAnsi="Calibri" w:cs="Calibri"/>
          <w:color w:val="000000"/>
          <w:sz w:val="22"/>
          <w:szCs w:val="22"/>
        </w:rPr>
        <w:t>Bollerslev, T. (1986). Generalized autoregressive conditional heteroskedasticity. Journal of Econometrics, 31(3), 307-327.</w:t>
      </w:r>
    </w:p>
    <w:p w14:paraId="4109E041" w14:textId="77777777" w:rsidR="007E00E9" w:rsidRDefault="00000000">
      <w:pPr>
        <w:spacing w:after="100"/>
        <w:jc w:val="both"/>
      </w:pPr>
      <w:r>
        <w:rPr>
          <w:rFonts w:ascii="Calibri" w:eastAsia="Calibri" w:hAnsi="Calibri" w:cs="Calibri"/>
          <w:color w:val="000000"/>
          <w:sz w:val="22"/>
          <w:szCs w:val="22"/>
        </w:rPr>
        <w:t>Christoffersen, P. (1998). Evaluating interval forecasts. International Economic Review, 39(4), 841-862.</w:t>
      </w:r>
    </w:p>
    <w:p w14:paraId="32ECEE3D" w14:textId="77777777" w:rsidR="007E00E9" w:rsidRDefault="00000000">
      <w:pPr>
        <w:spacing w:after="100"/>
        <w:jc w:val="both"/>
      </w:pPr>
      <w:r>
        <w:rPr>
          <w:rFonts w:ascii="Calibri" w:eastAsia="Calibri" w:hAnsi="Calibri" w:cs="Calibri"/>
          <w:color w:val="000000"/>
          <w:sz w:val="22"/>
          <w:szCs w:val="22"/>
        </w:rPr>
        <w:t>Engle, R. (1982). Autoregressive conditional heteroscedasticity with estimates of the variance of United Kingdom inflation. Econometrica, 50(4), 987-1007.</w:t>
      </w:r>
    </w:p>
    <w:p w14:paraId="467C5EB8" w14:textId="77777777" w:rsidR="007E00E9" w:rsidRDefault="00000000">
      <w:pPr>
        <w:spacing w:after="100"/>
        <w:jc w:val="both"/>
      </w:pPr>
      <w:r>
        <w:rPr>
          <w:rFonts w:ascii="Calibri" w:eastAsia="Calibri" w:hAnsi="Calibri" w:cs="Calibri"/>
          <w:color w:val="000000"/>
          <w:sz w:val="22"/>
          <w:szCs w:val="22"/>
        </w:rPr>
        <w:t>Glosten, L. R., Jagannathan, R., and Runkle, D. E. (1993). On the relation between the expected value and the volatility of the nominal excess return on stocks. Journal of Finance, 48(5), 1779-1801.</w:t>
      </w:r>
    </w:p>
    <w:p w14:paraId="2C4A9A67" w14:textId="77777777" w:rsidR="007E00E9" w:rsidRDefault="00000000">
      <w:pPr>
        <w:spacing w:after="100"/>
        <w:jc w:val="both"/>
      </w:pPr>
      <w:r>
        <w:rPr>
          <w:rFonts w:ascii="Calibri" w:eastAsia="Calibri" w:hAnsi="Calibri" w:cs="Calibri"/>
          <w:color w:val="000000"/>
          <w:sz w:val="22"/>
          <w:szCs w:val="22"/>
        </w:rPr>
        <w:t>Kupiec, P. (1995). Techniques for verifying the accuracy of risk measurement models. Journal of Derivatives, 3(2), 73-84.</w:t>
      </w:r>
    </w:p>
    <w:p w14:paraId="451227ED" w14:textId="77777777" w:rsidR="007E00E9" w:rsidRDefault="00000000">
      <w:pPr>
        <w:spacing w:after="100"/>
        <w:jc w:val="both"/>
      </w:pPr>
      <w:r>
        <w:rPr>
          <w:rFonts w:ascii="Calibri" w:eastAsia="Calibri" w:hAnsi="Calibri" w:cs="Calibri"/>
          <w:color w:val="000000"/>
          <w:sz w:val="22"/>
          <w:szCs w:val="22"/>
        </w:rPr>
        <w:t>McNeil, A. J., Frey, R., and Embrechts, P. (2015). Quantitative risk management: Concepts, techniques and tools (Revised ed.). Princeton University Press.</w:t>
      </w:r>
    </w:p>
    <w:p w14:paraId="64928603" w14:textId="77777777" w:rsidR="007E00E9" w:rsidRDefault="00000000">
      <w:pPr>
        <w:spacing w:after="100"/>
        <w:jc w:val="both"/>
      </w:pPr>
      <w:r>
        <w:rPr>
          <w:rFonts w:ascii="Calibri" w:eastAsia="Calibri" w:hAnsi="Calibri" w:cs="Calibri"/>
          <w:color w:val="000000"/>
          <w:sz w:val="22"/>
          <w:szCs w:val="22"/>
        </w:rPr>
        <w:t>Pakistan Stock Exchange (2024). KSE-100 Index. Retrieved via Kaggle dataset: aleemaher/psx-kse100-20-years (CC0 Public Domain).</w:t>
      </w:r>
    </w:p>
    <w:p w14:paraId="642C15E7" w14:textId="77777777" w:rsidR="007E00E9" w:rsidRDefault="00000000">
      <w:pPr>
        <w:spacing w:after="100"/>
        <w:jc w:val="both"/>
      </w:pPr>
      <w:r>
        <w:rPr>
          <w:rFonts w:ascii="Calibri" w:eastAsia="Calibri" w:hAnsi="Calibri" w:cs="Calibri"/>
          <w:color w:val="000000"/>
          <w:sz w:val="22"/>
          <w:szCs w:val="22"/>
        </w:rPr>
        <w:t>Yahoo Finance (2024). COMEX Gold Futures (GC=F). Retrieved via quantmod package in R.</w:t>
      </w:r>
    </w:p>
    <w:p w14:paraId="0A511F94" w14:textId="77777777" w:rsidR="007E00E9" w:rsidRDefault="00000000">
      <w:r>
        <w:br w:type="page"/>
      </w:r>
    </w:p>
    <w:p w14:paraId="65353061" w14:textId="77777777" w:rsidR="007E00E9" w:rsidRDefault="00000000">
      <w:pPr>
        <w:pStyle w:val="Heading1"/>
        <w:pBdr>
          <w:bottom w:val="single" w:sz="6" w:space="0" w:color="2C7BB6"/>
        </w:pBdr>
      </w:pPr>
      <w:r>
        <w:lastRenderedPageBreak/>
        <w:t>Appendix: Complete Script List</w:t>
      </w:r>
    </w:p>
    <w:p w14:paraId="448DDB3F" w14:textId="77777777" w:rsidR="007E00E9" w:rsidRDefault="00000000">
      <w:pPr>
        <w:spacing w:after="100"/>
        <w:jc w:val="both"/>
      </w:pPr>
      <w:r>
        <w:rPr>
          <w:rFonts w:ascii="Calibri" w:eastAsia="Calibri" w:hAnsi="Calibri" w:cs="Calibri"/>
          <w:color w:val="000000"/>
          <w:sz w:val="22"/>
          <w:szCs w:val="22"/>
        </w:rPr>
        <w:t>All R scripts are available at github.com/ahmer-econ. The following scripts were used in this analysis:</w:t>
      </w:r>
    </w:p>
    <w:p w14:paraId="1120C9D8" w14:textId="77777777" w:rsidR="007E00E9" w:rsidRDefault="00000000">
      <w:pPr>
        <w:spacing w:after="100"/>
        <w:jc w:val="both"/>
      </w:pPr>
      <w:r>
        <w:rPr>
          <w:rFonts w:ascii="Calibri" w:eastAsia="Calibri" w:hAnsi="Calibri" w:cs="Calibri"/>
          <w:color w:val="000000"/>
          <w:sz w:val="22"/>
          <w:szCs w:val="22"/>
        </w:rPr>
        <w:t>01_data_download_cleaning.R — KSE-100 CSV loading, COMEX Gold download via quantmod, date alignment, clean CSV export.</w:t>
      </w:r>
    </w:p>
    <w:p w14:paraId="31EC21A9" w14:textId="77777777" w:rsidR="007E00E9" w:rsidRDefault="00000000">
      <w:pPr>
        <w:spacing w:after="100"/>
        <w:jc w:val="both"/>
      </w:pPr>
      <w:r>
        <w:rPr>
          <w:rFonts w:ascii="Calibri" w:eastAsia="Calibri" w:hAnsi="Calibri" w:cs="Calibri"/>
          <w:color w:val="000000"/>
          <w:sz w:val="22"/>
          <w:szCs w:val="22"/>
        </w:rPr>
        <w:t>02_returns_descriptive_stats.R — Log return computation, descriptive statistics, Jarque-Bera tests, return series and histogram plots.</w:t>
      </w:r>
    </w:p>
    <w:p w14:paraId="4AD42118" w14:textId="77777777" w:rsidR="007E00E9" w:rsidRDefault="00000000">
      <w:pPr>
        <w:spacing w:after="100"/>
        <w:jc w:val="both"/>
      </w:pPr>
      <w:r>
        <w:rPr>
          <w:rFonts w:ascii="Calibri" w:eastAsia="Calibri" w:hAnsi="Calibri" w:cs="Calibri"/>
          <w:color w:val="000000"/>
          <w:sz w:val="22"/>
          <w:szCs w:val="22"/>
        </w:rPr>
        <w:t>03_historical_simulation_var_es.R — HS VaR and ES estimation at 95% and 99%, distribution plots with threshold lines.</w:t>
      </w:r>
    </w:p>
    <w:p w14:paraId="4706613F" w14:textId="77777777" w:rsidR="007E00E9" w:rsidRDefault="00000000">
      <w:pPr>
        <w:spacing w:after="100"/>
        <w:jc w:val="both"/>
      </w:pPr>
      <w:r>
        <w:rPr>
          <w:rFonts w:ascii="Calibri" w:eastAsia="Calibri" w:hAnsi="Calibri" w:cs="Calibri"/>
          <w:color w:val="000000"/>
          <w:sz w:val="22"/>
          <w:szCs w:val="22"/>
        </w:rPr>
        <w:t>04_parametric_var_es.R — Parametric VaR and ES estimation, comparison plots against HS.</w:t>
      </w:r>
    </w:p>
    <w:p w14:paraId="5ACD8B52" w14:textId="77777777" w:rsidR="007E00E9" w:rsidRDefault="00000000">
      <w:pPr>
        <w:spacing w:after="100"/>
        <w:jc w:val="both"/>
      </w:pPr>
      <w:r>
        <w:rPr>
          <w:rFonts w:ascii="Calibri" w:eastAsia="Calibri" w:hAnsi="Calibri" w:cs="Calibri"/>
          <w:color w:val="000000"/>
          <w:sz w:val="22"/>
          <w:szCs w:val="22"/>
        </w:rPr>
        <w:t>05_garch_estimation_residuals.R — GARCH(1,1) specification and estimation for both assets, diagnostic tests, conditional volatility and standardised residual plots.</w:t>
      </w:r>
    </w:p>
    <w:p w14:paraId="1A66B60A" w14:textId="77777777" w:rsidR="007E00E9" w:rsidRDefault="00000000">
      <w:pPr>
        <w:spacing w:after="100"/>
        <w:jc w:val="both"/>
      </w:pPr>
      <w:r>
        <w:rPr>
          <w:rFonts w:ascii="Calibri" w:eastAsia="Calibri" w:hAnsi="Calibri" w:cs="Calibri"/>
          <w:color w:val="000000"/>
          <w:sz w:val="22"/>
          <w:szCs w:val="22"/>
        </w:rPr>
        <w:t>06_garch_fhs_var_es.R — Filtered Historical Simulation VaR and ES computation, master comparison table, three-method bar charts.</w:t>
      </w:r>
    </w:p>
    <w:p w14:paraId="71624AA9" w14:textId="77777777" w:rsidR="007E00E9" w:rsidRDefault="00000000">
      <w:pPr>
        <w:spacing w:after="100"/>
        <w:jc w:val="both"/>
      </w:pPr>
      <w:r>
        <w:rPr>
          <w:rFonts w:ascii="Calibri" w:eastAsia="Calibri" w:hAnsi="Calibri" w:cs="Calibri"/>
          <w:color w:val="000000"/>
          <w:sz w:val="22"/>
          <w:szCs w:val="22"/>
        </w:rPr>
        <w:t>07_kupiec_backtesting.R — Kupiec POF test implementation, full backtest results table, breach count visualisation.</w:t>
      </w:r>
    </w:p>
    <w:p w14:paraId="62D73BF7" w14:textId="77777777" w:rsidR="007E00E9" w:rsidRDefault="00000000">
      <w:pPr>
        <w:spacing w:after="100"/>
        <w:jc w:val="both"/>
      </w:pPr>
      <w:r>
        <w:rPr>
          <w:rFonts w:ascii="Calibri" w:eastAsia="Calibri" w:hAnsi="Calibri" w:cs="Calibri"/>
          <w:color w:val="000000"/>
          <w:sz w:val="22"/>
          <w:szCs w:val="22"/>
        </w:rPr>
        <w:t>08_rolling_var_breach_christoffersen.R — 250-day rolling VaR, VaR breach plots, Christoffersen Conditional Coverage test.</w:t>
      </w:r>
    </w:p>
    <w:sectPr w:rsidR="007E00E9">
      <w:footerReference w:type="default" r:id="rId27"/>
      <w:pgSz w:w="11906" w:h="16838"/>
      <w:pgMar w:top="1440" w:right="1584"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E958C" w14:textId="77777777" w:rsidR="00050786" w:rsidRDefault="00050786">
      <w:r>
        <w:separator/>
      </w:r>
    </w:p>
  </w:endnote>
  <w:endnote w:type="continuationSeparator" w:id="0">
    <w:p w14:paraId="6D1FB411" w14:textId="77777777" w:rsidR="00050786" w:rsidRDefault="000507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D695B" w14:textId="77777777" w:rsidR="007E00E9" w:rsidRDefault="00000000">
    <w:pPr>
      <w:jc w:val="center"/>
    </w:pPr>
    <w:r>
      <w:rPr>
        <w:rFonts w:ascii="Calibri" w:eastAsia="Calibri" w:hAnsi="Calibri" w:cs="Calibri"/>
        <w:color w:val="4A4A6A"/>
        <w:sz w:val="18"/>
        <w:szCs w:val="18"/>
      </w:rPr>
      <w:fldChar w:fldCharType="begin"/>
    </w:r>
    <w:r>
      <w:rPr>
        <w:rFonts w:ascii="Calibri" w:eastAsia="Calibri" w:hAnsi="Calibri" w:cs="Calibri"/>
        <w:color w:val="4A4A6A"/>
        <w:sz w:val="18"/>
        <w:szCs w:val="18"/>
      </w:rPr>
      <w:instrText>PAGE</w:instrText>
    </w:r>
    <w:r>
      <w:rPr>
        <w:rFonts w:ascii="Calibri" w:eastAsia="Calibri" w:hAnsi="Calibri" w:cs="Calibri"/>
        <w:color w:val="4A4A6A"/>
        <w:sz w:val="18"/>
        <w:szCs w:val="18"/>
      </w:rPr>
      <w:fldChar w:fldCharType="separate"/>
    </w:r>
    <w:r w:rsidR="00BD2075">
      <w:rPr>
        <w:rFonts w:ascii="Calibri" w:eastAsia="Calibri" w:hAnsi="Calibri" w:cs="Calibri"/>
        <w:noProof/>
        <w:color w:val="4A4A6A"/>
        <w:sz w:val="18"/>
        <w:szCs w:val="18"/>
      </w:rPr>
      <w:t>1</w:t>
    </w:r>
    <w:r>
      <w:rPr>
        <w:rFonts w:ascii="Calibri" w:eastAsia="Calibri" w:hAnsi="Calibri" w:cs="Calibri"/>
        <w:color w:val="4A4A6A"/>
        <w:sz w:val="18"/>
        <w:szCs w:val="18"/>
      </w:rPr>
      <w:fldChar w:fldCharType="end"/>
    </w:r>
    <w:r>
      <w:rPr>
        <w:rFonts w:ascii="Calibri" w:eastAsia="Calibri" w:hAnsi="Calibri" w:cs="Calibri"/>
        <w:color w:val="4A4A6A"/>
        <w:sz w:val="18"/>
        <w:szCs w:val="18"/>
      </w:rPr>
      <w:t xml:space="preserve">  |  Tail Risk in Pakistani Financial Markets  |  Ahmer  |  ahmer-econ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470D0" w14:textId="77777777" w:rsidR="00050786" w:rsidRDefault="00050786">
      <w:r>
        <w:separator/>
      </w:r>
    </w:p>
  </w:footnote>
  <w:footnote w:type="continuationSeparator" w:id="0">
    <w:p w14:paraId="2C127200" w14:textId="77777777" w:rsidR="00050786" w:rsidRDefault="000507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5E60FC"/>
    <w:multiLevelType w:val="hybridMultilevel"/>
    <w:tmpl w:val="2CA6580C"/>
    <w:lvl w:ilvl="0" w:tplc="5EF42C6A">
      <w:start w:val="1"/>
      <w:numFmt w:val="bullet"/>
      <w:lvlText w:val="●"/>
      <w:lvlJc w:val="left"/>
      <w:pPr>
        <w:ind w:left="720" w:hanging="360"/>
      </w:pPr>
    </w:lvl>
    <w:lvl w:ilvl="1" w:tplc="2DC09C9C">
      <w:start w:val="1"/>
      <w:numFmt w:val="bullet"/>
      <w:lvlText w:val="○"/>
      <w:lvlJc w:val="left"/>
      <w:pPr>
        <w:ind w:left="1440" w:hanging="360"/>
      </w:pPr>
    </w:lvl>
    <w:lvl w:ilvl="2" w:tplc="98BE2D16">
      <w:start w:val="1"/>
      <w:numFmt w:val="bullet"/>
      <w:lvlText w:val="■"/>
      <w:lvlJc w:val="left"/>
      <w:pPr>
        <w:ind w:left="2160" w:hanging="360"/>
      </w:pPr>
    </w:lvl>
    <w:lvl w:ilvl="3" w:tplc="F2FE7FF0">
      <w:start w:val="1"/>
      <w:numFmt w:val="bullet"/>
      <w:lvlText w:val="●"/>
      <w:lvlJc w:val="left"/>
      <w:pPr>
        <w:ind w:left="2880" w:hanging="360"/>
      </w:pPr>
    </w:lvl>
    <w:lvl w:ilvl="4" w:tplc="93AA8E9E">
      <w:start w:val="1"/>
      <w:numFmt w:val="bullet"/>
      <w:lvlText w:val="○"/>
      <w:lvlJc w:val="left"/>
      <w:pPr>
        <w:ind w:left="3600" w:hanging="360"/>
      </w:pPr>
    </w:lvl>
    <w:lvl w:ilvl="5" w:tplc="E79859C8">
      <w:start w:val="1"/>
      <w:numFmt w:val="bullet"/>
      <w:lvlText w:val="■"/>
      <w:lvlJc w:val="left"/>
      <w:pPr>
        <w:ind w:left="4320" w:hanging="360"/>
      </w:pPr>
    </w:lvl>
    <w:lvl w:ilvl="6" w:tplc="B0982E78">
      <w:start w:val="1"/>
      <w:numFmt w:val="bullet"/>
      <w:lvlText w:val="●"/>
      <w:lvlJc w:val="left"/>
      <w:pPr>
        <w:ind w:left="5040" w:hanging="360"/>
      </w:pPr>
    </w:lvl>
    <w:lvl w:ilvl="7" w:tplc="1A56D9DE">
      <w:start w:val="1"/>
      <w:numFmt w:val="bullet"/>
      <w:lvlText w:val="●"/>
      <w:lvlJc w:val="left"/>
      <w:pPr>
        <w:ind w:left="5760" w:hanging="360"/>
      </w:pPr>
    </w:lvl>
    <w:lvl w:ilvl="8" w:tplc="D1C288C2">
      <w:start w:val="1"/>
      <w:numFmt w:val="bullet"/>
      <w:lvlText w:val="●"/>
      <w:lvlJc w:val="left"/>
      <w:pPr>
        <w:ind w:left="6480" w:hanging="360"/>
      </w:pPr>
    </w:lvl>
  </w:abstractNum>
  <w:num w:numId="1" w16cid:durableId="19755967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0E9"/>
    <w:rsid w:val="00050786"/>
    <w:rsid w:val="007E00E9"/>
    <w:rsid w:val="00A4543C"/>
    <w:rsid w:val="00A61506"/>
    <w:rsid w:val="00BD20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C0287"/>
  <w15:docId w15:val="{47E90FF2-C340-415D-A26F-B67F53447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rFonts w:ascii="Calibri" w:eastAsia="Calibri" w:hAnsi="Calibri" w:cs="Calibri"/>
      <w:b/>
      <w:bCs/>
      <w:color w:val="1A1A2E"/>
      <w:sz w:val="32"/>
      <w:szCs w:val="32"/>
    </w:rPr>
  </w:style>
  <w:style w:type="paragraph" w:styleId="Heading2">
    <w:name w:val="heading 2"/>
    <w:uiPriority w:val="9"/>
    <w:unhideWhenUsed/>
    <w:qFormat/>
    <w:pPr>
      <w:spacing w:before="240" w:after="80"/>
      <w:outlineLvl w:val="1"/>
    </w:pPr>
    <w:rPr>
      <w:rFonts w:ascii="Calibri" w:eastAsia="Calibri" w:hAnsi="Calibri" w:cs="Calibri"/>
      <w:b/>
      <w:bCs/>
      <w:color w:val="2C7BB6"/>
      <w:sz w:val="26"/>
      <w:szCs w:val="26"/>
    </w:rPr>
  </w:style>
  <w:style w:type="paragraph" w:styleId="Heading3">
    <w:name w:val="heading 3"/>
    <w:uiPriority w:val="9"/>
    <w:semiHidden/>
    <w:unhideWhenUsed/>
    <w:qFormat/>
    <w:pPr>
      <w:spacing w:before="180" w:after="60"/>
      <w:outlineLvl w:val="2"/>
    </w:pPr>
    <w:rPr>
      <w:rFonts w:ascii="Calibri" w:eastAsia="Calibri" w:hAnsi="Calibri" w:cs="Calibri"/>
      <w:b/>
      <w:bCs/>
      <w:color w:val="4A4A6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24</Pages>
  <Words>4736</Words>
  <Characters>27000</Characters>
  <Application>Microsoft Office Word</Application>
  <DocSecurity>0</DocSecurity>
  <Lines>225</Lines>
  <Paragraphs>63</Paragraphs>
  <ScaleCrop>false</ScaleCrop>
  <Company/>
  <LinksUpToDate>false</LinksUpToDate>
  <CharactersWithSpaces>31673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Ahmer Anwaar</cp:lastModifiedBy>
  <cp:revision>3</cp:revision>
  <dcterms:created xsi:type="dcterms:W3CDTF">2026-08-23T21:01:00Z</dcterms:created>
  <dcterms:modified xsi:type="dcterms:W3CDTF">2026-08-25T10:09:00Z</dcterms:modified>
</cp:coreProperties>
</file>