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29E2" w14:textId="77777777" w:rsidR="0035511E" w:rsidRPr="00225413" w:rsidRDefault="00CE1A29">
      <w:pPr>
        <w:pStyle w:val="KonuBal"/>
        <w:jc w:val="center"/>
        <w:rPr>
          <w:sz w:val="40"/>
          <w:szCs w:val="72"/>
        </w:rPr>
      </w:pPr>
      <w:r w:rsidRPr="00225413">
        <w:rPr>
          <w:sz w:val="40"/>
          <w:szCs w:val="72"/>
        </w:rPr>
        <w:t>OSTEOPOROZ</w:t>
      </w:r>
    </w:p>
    <w:p w14:paraId="635B7168" w14:textId="77777777" w:rsidR="0035511E" w:rsidRDefault="00CE1A29">
      <w:pPr>
        <w:jc w:val="center"/>
        <w:rPr>
          <w:b/>
          <w:color w:val="376A85"/>
          <w:sz w:val="22"/>
          <w:szCs w:val="28"/>
        </w:rPr>
      </w:pPr>
      <w:r w:rsidRPr="00225413">
        <w:rPr>
          <w:b/>
          <w:color w:val="376A85"/>
          <w:sz w:val="22"/>
          <w:szCs w:val="28"/>
        </w:rPr>
        <w:t>HASTA BİLGİLENDİRME VE GENEL ÖNERİLER</w:t>
      </w:r>
    </w:p>
    <w:p w14:paraId="2D4D3275" w14:textId="77777777" w:rsidR="00481730" w:rsidRPr="00225413" w:rsidRDefault="00481730">
      <w:pPr>
        <w:jc w:val="center"/>
        <w:rPr>
          <w:sz w:val="22"/>
          <w:szCs w:val="28"/>
        </w:rPr>
      </w:pPr>
    </w:p>
    <w:p w14:paraId="461A865C" w14:textId="77777777" w:rsidR="0035511E" w:rsidRPr="00225413" w:rsidRDefault="00CE1A29">
      <w:pPr>
        <w:rPr>
          <w:sz w:val="22"/>
          <w:szCs w:val="28"/>
        </w:rPr>
      </w:pPr>
      <w:r w:rsidRPr="00225413">
        <w:rPr>
          <w:sz w:val="22"/>
          <w:szCs w:val="28"/>
        </w:rPr>
        <w:t>Osteoporoz, kemiklerin kırılganlığını artırır. İlaçların düzenli kullanımı, doğru beslenme ve düşmelerin önlenmesi kırık riskini azaltmaya yardımcı olur.</w:t>
      </w:r>
    </w:p>
    <w:p w14:paraId="02A160A0" w14:textId="77777777" w:rsidR="0035511E" w:rsidRPr="00225413" w:rsidRDefault="00CE1A29">
      <w:pPr>
        <w:pStyle w:val="Balk2"/>
        <w:rPr>
          <w:sz w:val="24"/>
          <w:szCs w:val="32"/>
        </w:rPr>
      </w:pPr>
      <w:r w:rsidRPr="00225413">
        <w:rPr>
          <w:sz w:val="24"/>
          <w:szCs w:val="32"/>
        </w:rPr>
        <w:t>1  Beslenme ve kemik sağlığı</w:t>
      </w:r>
    </w:p>
    <w:p w14:paraId="04048E81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Günlük toplam kalsiyum alımınız çoğu 50 yaş üzeri kadın ve 70 yaş üzeri erkekte yaklaşık 1.200 mg; 50–70 yaş erkeklerde 1.000 mg olmalıdır. Öncelik besinlerdir (süt, yoğurt, peynir ve uygun alternatifleri).</w:t>
      </w:r>
    </w:p>
    <w:p w14:paraId="3DDB9D11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D vitamini gereksinimi yaşa ve sağlık durumuna göre değişir; gerekli takviyeyi doktorunuzun önerdiği dozda kullanın. Kendi kendinize yüksek doz başlamayın.</w:t>
      </w:r>
    </w:p>
    <w:p w14:paraId="2D257A79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Yeterli protein içeren dengeli beslenin; sigarayı bırakın, alkolü sınırlandırın.</w:t>
      </w:r>
    </w:p>
    <w:p w14:paraId="11D82E54" w14:textId="77777777" w:rsidR="0035511E" w:rsidRPr="00225413" w:rsidRDefault="00CE1A29">
      <w:pPr>
        <w:pStyle w:val="Balk2"/>
        <w:rPr>
          <w:sz w:val="24"/>
          <w:szCs w:val="32"/>
        </w:rPr>
      </w:pPr>
      <w:r w:rsidRPr="00225413">
        <w:rPr>
          <w:sz w:val="24"/>
          <w:szCs w:val="32"/>
        </w:rPr>
        <w:t>2  Egzersiz ve düşmelerden korunma</w:t>
      </w:r>
    </w:p>
    <w:p w14:paraId="2D761319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Sağlığınıza uygunsa düzenli yürüyüş gibi ağırlık taşıyan aktiviteler, haftada 2–3 gün kas güçlendirme ve denge egzersizleri yapın.</w:t>
      </w:r>
    </w:p>
    <w:p w14:paraId="25C783F8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Evde kaygan halıları ve kabloları kaldırın; iyi aydınlatma, kaymaz ayakkabı ve gerekiyorsa tutunma barları kullanın.</w:t>
      </w:r>
    </w:p>
    <w:p w14:paraId="721E8B6B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Omurga kırığı riski yüksekse ani öne eğilme, ağır yükle gövdeyi bükme ve kontrolsüz dönme hareketlerinden kaçının; egzersizi hekiminiz/fizyoterapistinizle planlayın.</w:t>
      </w:r>
    </w:p>
    <w:p w14:paraId="18D78F45" w14:textId="77777777" w:rsidR="0035511E" w:rsidRPr="00225413" w:rsidRDefault="00CE1A29">
      <w:pPr>
        <w:pStyle w:val="Balk2"/>
        <w:rPr>
          <w:sz w:val="24"/>
          <w:szCs w:val="32"/>
        </w:rPr>
      </w:pPr>
      <w:r w:rsidRPr="00225413">
        <w:rPr>
          <w:sz w:val="24"/>
          <w:szCs w:val="32"/>
        </w:rPr>
        <w:t>3  İlaçlarınızı doğru kullanın</w:t>
      </w:r>
    </w:p>
    <w:p w14:paraId="20A0063C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Ağızdan bisfosfonat kullanıyorsanız ilacı sabah aç karnına yalnızca suyla alın; sonrasında en az 30 dakika (bazı ilaçlarda 60 dakika) uzanmayın ve başka ilaç/yiyecek almayın. Kendi ilacınızın talimatını izleyin.</w:t>
      </w:r>
    </w:p>
    <w:p w14:paraId="361C002B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Denosumab (Prolia) enjeksiyonu genellikle 6 ayda bir uygulanır. Hekim planı olmadan geciktirmeyin veya kesmeyin: özellikle omurga kırığı riski artabilir. Kesilecekse başka kemik koruyucu tedavi planlanmalıdır.</w:t>
      </w:r>
    </w:p>
    <w:p w14:paraId="6B3F3953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Kalsiyum ve D vitamini tedavisi, böbrek fonksiyonu ve diğer ilaçlarınızla birlikte kişiye özel düzenlenir. Tedavi değişikliğini doktorunuzla görüşün.</w:t>
      </w:r>
    </w:p>
    <w:p w14:paraId="73871ED5" w14:textId="77777777" w:rsidR="0035511E" w:rsidRPr="00225413" w:rsidRDefault="00CE1A29">
      <w:pPr>
        <w:pStyle w:val="Balk2"/>
        <w:rPr>
          <w:sz w:val="24"/>
          <w:szCs w:val="32"/>
        </w:rPr>
      </w:pPr>
      <w:r w:rsidRPr="00225413">
        <w:rPr>
          <w:sz w:val="24"/>
          <w:szCs w:val="32"/>
        </w:rPr>
        <w:t>4  Kontroller ve dikkat edilmesi gereken durumlar</w:t>
      </w:r>
    </w:p>
    <w:p w14:paraId="21B6D0FC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Kemik yoğunluğu (DXA) ve gerekli kan testlerini doktorunuzun belirlediği aralıklarla yaptırın. Boy kısalması veya yeni sırt-bel ağrısını bildirin.</w:t>
      </w:r>
    </w:p>
    <w:p w14:paraId="7D7C13E8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Hafif bir düşme ile kırık, ani şiddetli sırt/bel ağrısı, açıklanamayan kalça-kasık/uyluk ağrısı ya da çene bölgesinde iyileşmeyen yara olursa sağlık kuruluşuna başvurun.</w:t>
      </w:r>
    </w:p>
    <w:p w14:paraId="1C14AC9C" w14:textId="77777777" w:rsidR="0035511E" w:rsidRPr="00225413" w:rsidRDefault="00CE1A29">
      <w:pPr>
        <w:ind w:left="210" w:hanging="142"/>
        <w:rPr>
          <w:sz w:val="22"/>
          <w:szCs w:val="28"/>
        </w:rPr>
      </w:pPr>
      <w:r w:rsidRPr="00225413">
        <w:rPr>
          <w:sz w:val="22"/>
          <w:szCs w:val="28"/>
        </w:rPr>
        <w:t>•  Diş tedavisi planlıyorsanız osteoporoz ilacı kullandığınızı diş hekiminize söyleyin; diş işlemi için ilacınızı kendiliğinizden kesmeyin.</w:t>
      </w:r>
    </w:p>
    <w:p w14:paraId="602EA3ED" w14:textId="77777777" w:rsidR="0035511E" w:rsidRDefault="00CE1A29">
      <w:pPr>
        <w:spacing w:before="100"/>
        <w:rPr>
          <w:sz w:val="22"/>
          <w:szCs w:val="28"/>
        </w:rPr>
      </w:pPr>
      <w:r w:rsidRPr="00225413">
        <w:rPr>
          <w:b/>
          <w:color w:val="144569"/>
          <w:sz w:val="22"/>
          <w:szCs w:val="28"/>
        </w:rPr>
        <w:t xml:space="preserve">UNUTMAYIN: </w:t>
      </w:r>
      <w:r w:rsidRPr="00225413">
        <w:rPr>
          <w:sz w:val="22"/>
          <w:szCs w:val="28"/>
        </w:rPr>
        <w:t xml:space="preserve">Tedavinin amacı yalnızca kemik yoğunluğunu artırmak değil, kırıkları önlemektir. </w:t>
      </w:r>
      <w:proofErr w:type="spellStart"/>
      <w:r w:rsidRPr="00225413">
        <w:rPr>
          <w:sz w:val="22"/>
          <w:szCs w:val="28"/>
        </w:rPr>
        <w:t>Doktorunuza</w:t>
      </w:r>
      <w:proofErr w:type="spellEnd"/>
      <w:r w:rsidRPr="00225413">
        <w:rPr>
          <w:sz w:val="22"/>
          <w:szCs w:val="28"/>
        </w:rPr>
        <w:t xml:space="preserve"> </w:t>
      </w:r>
      <w:proofErr w:type="spellStart"/>
      <w:r w:rsidRPr="00225413">
        <w:rPr>
          <w:sz w:val="22"/>
          <w:szCs w:val="28"/>
        </w:rPr>
        <w:t>danışmadan</w:t>
      </w:r>
      <w:proofErr w:type="spellEnd"/>
      <w:r w:rsidRPr="00225413">
        <w:rPr>
          <w:sz w:val="22"/>
          <w:szCs w:val="28"/>
        </w:rPr>
        <w:t xml:space="preserve"> </w:t>
      </w:r>
      <w:proofErr w:type="spellStart"/>
      <w:r w:rsidRPr="00225413">
        <w:rPr>
          <w:sz w:val="22"/>
          <w:szCs w:val="28"/>
        </w:rPr>
        <w:t>tedaviyi</w:t>
      </w:r>
      <w:proofErr w:type="spellEnd"/>
      <w:r w:rsidRPr="00225413">
        <w:rPr>
          <w:sz w:val="22"/>
          <w:szCs w:val="28"/>
        </w:rPr>
        <w:t xml:space="preserve"> </w:t>
      </w:r>
      <w:proofErr w:type="spellStart"/>
      <w:r w:rsidRPr="00225413">
        <w:rPr>
          <w:sz w:val="22"/>
          <w:szCs w:val="28"/>
        </w:rPr>
        <w:t>bırakmayın</w:t>
      </w:r>
      <w:proofErr w:type="spellEnd"/>
      <w:r w:rsidRPr="00225413">
        <w:rPr>
          <w:sz w:val="22"/>
          <w:szCs w:val="28"/>
        </w:rPr>
        <w:t>.</w:t>
      </w:r>
    </w:p>
    <w:p w14:paraId="0846D898" w14:textId="77777777" w:rsidR="00225413" w:rsidRDefault="00225413">
      <w:pPr>
        <w:spacing w:before="100"/>
        <w:rPr>
          <w:sz w:val="22"/>
          <w:szCs w:val="28"/>
        </w:rPr>
      </w:pPr>
    </w:p>
    <w:p w14:paraId="32DF0A13" w14:textId="77777777" w:rsidR="00225413" w:rsidRDefault="00225413">
      <w:pPr>
        <w:spacing w:before="100"/>
        <w:rPr>
          <w:sz w:val="22"/>
          <w:szCs w:val="28"/>
        </w:rPr>
      </w:pPr>
    </w:p>
    <w:p w14:paraId="54EF5886" w14:textId="77777777" w:rsidR="00225413" w:rsidRPr="00225413" w:rsidRDefault="00225413">
      <w:pPr>
        <w:spacing w:before="100"/>
        <w:rPr>
          <w:sz w:val="22"/>
          <w:szCs w:val="28"/>
        </w:rPr>
      </w:pPr>
    </w:p>
    <w:p w14:paraId="7853B155" w14:textId="77777777" w:rsidR="0035511E" w:rsidRDefault="00CE1A29">
      <w:pPr>
        <w:rPr>
          <w:i/>
          <w:szCs w:val="28"/>
        </w:rPr>
      </w:pPr>
      <w:r w:rsidRPr="00225413">
        <w:rPr>
          <w:i/>
          <w:szCs w:val="28"/>
        </w:rPr>
        <w:t xml:space="preserve">Bu belge genel bilgilendirme amaçlıdır; gebelik, böbrek hastalığı, böbrek taşı ve diğer </w:t>
      </w:r>
      <w:proofErr w:type="spellStart"/>
      <w:r w:rsidRPr="00225413">
        <w:rPr>
          <w:i/>
          <w:szCs w:val="28"/>
        </w:rPr>
        <w:t>özel</w:t>
      </w:r>
      <w:proofErr w:type="spellEnd"/>
      <w:r w:rsidRPr="00225413">
        <w:rPr>
          <w:i/>
          <w:szCs w:val="28"/>
        </w:rPr>
        <w:t xml:space="preserve"> </w:t>
      </w:r>
      <w:proofErr w:type="spellStart"/>
      <w:r w:rsidRPr="00225413">
        <w:rPr>
          <w:i/>
          <w:szCs w:val="28"/>
        </w:rPr>
        <w:t>durumlarda</w:t>
      </w:r>
      <w:proofErr w:type="spellEnd"/>
      <w:r w:rsidRPr="00225413">
        <w:rPr>
          <w:i/>
          <w:szCs w:val="28"/>
        </w:rPr>
        <w:t xml:space="preserve"> </w:t>
      </w:r>
      <w:proofErr w:type="spellStart"/>
      <w:r w:rsidRPr="00225413">
        <w:rPr>
          <w:i/>
          <w:szCs w:val="28"/>
        </w:rPr>
        <w:t>öneriler</w:t>
      </w:r>
      <w:proofErr w:type="spellEnd"/>
      <w:r w:rsidRPr="00225413">
        <w:rPr>
          <w:i/>
          <w:szCs w:val="28"/>
        </w:rPr>
        <w:t xml:space="preserve"> </w:t>
      </w:r>
      <w:proofErr w:type="spellStart"/>
      <w:r w:rsidRPr="00225413">
        <w:rPr>
          <w:i/>
          <w:szCs w:val="28"/>
        </w:rPr>
        <w:t>bireyselleştirilmelidir</w:t>
      </w:r>
      <w:proofErr w:type="spellEnd"/>
      <w:r w:rsidRPr="00225413">
        <w:rPr>
          <w:i/>
          <w:szCs w:val="28"/>
        </w:rPr>
        <w:t>.</w:t>
      </w:r>
    </w:p>
    <w:p w14:paraId="662F83E6" w14:textId="77777777" w:rsidR="00225413" w:rsidRPr="00225413" w:rsidRDefault="00225413" w:rsidP="00225413">
      <w:pPr>
        <w:rPr>
          <w:sz w:val="22"/>
          <w:szCs w:val="28"/>
        </w:rPr>
      </w:pPr>
    </w:p>
    <w:p w14:paraId="10D81404" w14:textId="4C84A310" w:rsidR="00225413" w:rsidRPr="00225413" w:rsidRDefault="00225413" w:rsidP="00225413">
      <w:pPr>
        <w:tabs>
          <w:tab w:val="left" w:pos="6120"/>
        </w:tabs>
        <w:rPr>
          <w:sz w:val="22"/>
          <w:szCs w:val="28"/>
        </w:rPr>
      </w:pPr>
      <w:r>
        <w:rPr>
          <w:sz w:val="22"/>
          <w:szCs w:val="28"/>
        </w:rPr>
        <w:tab/>
      </w:r>
    </w:p>
    <w:sectPr w:rsidR="00225413" w:rsidRPr="00225413" w:rsidSect="00034616">
      <w:footerReference w:type="default" r:id="rId8"/>
      <w:pgSz w:w="12240" w:h="15840"/>
      <w:pgMar w:top="879" w:right="992" w:bottom="765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D7A8" w14:textId="77777777" w:rsidR="00CE1A29" w:rsidRDefault="00CE1A29">
      <w:pPr>
        <w:spacing w:after="0" w:line="240" w:lineRule="auto"/>
      </w:pPr>
      <w:r>
        <w:separator/>
      </w:r>
    </w:p>
  </w:endnote>
  <w:endnote w:type="continuationSeparator" w:id="0">
    <w:p w14:paraId="42ECDE6A" w14:textId="77777777" w:rsidR="00CE1A29" w:rsidRDefault="00CE1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D8D5" w14:textId="05E6C5E7" w:rsidR="0035511E" w:rsidRDefault="0035511E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97B2" w14:textId="77777777" w:rsidR="00CE1A29" w:rsidRDefault="00CE1A29">
      <w:pPr>
        <w:spacing w:after="0" w:line="240" w:lineRule="auto"/>
      </w:pPr>
      <w:r>
        <w:separator/>
      </w:r>
    </w:p>
  </w:footnote>
  <w:footnote w:type="continuationSeparator" w:id="0">
    <w:p w14:paraId="5A2C6FF3" w14:textId="77777777" w:rsidR="00CE1A29" w:rsidRDefault="00CE1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130475">
    <w:abstractNumId w:val="8"/>
  </w:num>
  <w:num w:numId="2" w16cid:durableId="1721858080">
    <w:abstractNumId w:val="6"/>
  </w:num>
  <w:num w:numId="3" w16cid:durableId="1651523412">
    <w:abstractNumId w:val="5"/>
  </w:num>
  <w:num w:numId="4" w16cid:durableId="327252447">
    <w:abstractNumId w:val="4"/>
  </w:num>
  <w:num w:numId="5" w16cid:durableId="543715764">
    <w:abstractNumId w:val="7"/>
  </w:num>
  <w:num w:numId="6" w16cid:durableId="41560888">
    <w:abstractNumId w:val="3"/>
  </w:num>
  <w:num w:numId="7" w16cid:durableId="784083525">
    <w:abstractNumId w:val="2"/>
  </w:num>
  <w:num w:numId="8" w16cid:durableId="1911111605">
    <w:abstractNumId w:val="1"/>
  </w:num>
  <w:num w:numId="9" w16cid:durableId="157006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CA"/>
    <w:rsid w:val="00225413"/>
    <w:rsid w:val="0029639D"/>
    <w:rsid w:val="00326F90"/>
    <w:rsid w:val="0035511E"/>
    <w:rsid w:val="00481730"/>
    <w:rsid w:val="0069665C"/>
    <w:rsid w:val="00AA1D8D"/>
    <w:rsid w:val="00B47730"/>
    <w:rsid w:val="00CB0664"/>
    <w:rsid w:val="00CE1A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C71B9D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273340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44569"/>
      <w:sz w:val="20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before="100" w:after="40" w:line="240" w:lineRule="auto"/>
      <w:contextualSpacing/>
    </w:pPr>
    <w:rPr>
      <w:rFonts w:asciiTheme="majorHAnsi" w:eastAsiaTheme="majorEastAsia" w:hAnsiTheme="majorHAnsi" w:cstheme="majorBidi"/>
      <w:b/>
      <w:color w:val="144569"/>
      <w:spacing w:val="5"/>
      <w:kern w:val="28"/>
      <w:sz w:val="3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2026-10-13T17:25:00Z</dcterms:created>
  <dcterms:modified xsi:type="dcterms:W3CDTF">2026-10-13T17:25:00Z</dcterms:modified>
  <cp:category/>
</cp:coreProperties>
</file>