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tübitak-2209-a-bütçe-önerisi"/>
    <w:p>
      <w:pPr>
        <w:pStyle w:val="Heading1"/>
      </w:pPr>
      <w:r>
        <w:t xml:space="preserve">TÜBİTAK 2209-A — Bütçe önerisi</w:t>
      </w:r>
    </w:p>
    <w:p>
      <w:pPr>
        <w:pStyle w:val="FirstParagraph"/>
      </w:pPr>
      <w:r>
        <w:rPr>
          <w:b/>
          <w:bCs/>
        </w:rPr>
        <w:t xml:space="preserve">22 Ekim 2026 · Kullanıcı ve danışman incelemesi için taslak</w:t>
      </w:r>
    </w:p>
    <w:p>
      <w:pPr>
        <w:pStyle w:val="BodyText"/>
      </w:pPr>
      <w:r>
        <w:rPr>
          <w:b/>
          <w:bCs/>
        </w:rPr>
        <w:t xml:space="preserve">Proje:</w:t>
      </w:r>
      <w:r>
        <w:t xml:space="preserve"> </w:t>
      </w:r>
      <w:r>
        <w:t xml:space="preserve">Kullanıcı tarafından belirlenen rota bilgisine göre hareket eden otonom araç tasarımı</w:t>
      </w:r>
    </w:p>
    <w:p>
      <w:pPr>
        <w:pStyle w:val="BodyText"/>
      </w:pPr>
      <w:r>
        <w:rPr>
          <w:b/>
          <w:bCs/>
        </w:rPr>
        <w:t xml:space="preserve">Yürütücü:</w:t>
      </w:r>
      <w:r>
        <w:t xml:space="preserve"> </w:t>
      </w:r>
      <w:r>
        <w:t xml:space="preserve">Ahmet Talha Arslan ·</w:t>
      </w:r>
      <w:r>
        <w:t xml:space="preserve"> </w:t>
      </w:r>
      <w:r>
        <w:rPr>
          <w:b/>
          <w:bCs/>
        </w:rPr>
        <w:t xml:space="preserve">Danışman:</w:t>
      </w:r>
      <w:r>
        <w:t xml:space="preserve"> </w:t>
      </w:r>
      <w:r>
        <w:t xml:space="preserve">Prof. Dr. Murat Ceylan</w:t>
      </w:r>
    </w:p>
    <w:p>
      <w:pPr>
        <w:pStyle w:val="BodyText"/>
      </w:pPr>
      <w:r>
        <w:t xml:space="preserve">Önerilen toplam</w:t>
      </w:r>
      <w:r>
        <w:t xml:space="preserve"> </w:t>
      </w:r>
      <w:r>
        <w:rPr>
          <w:b/>
          <w:bCs/>
        </w:rPr>
        <w:t xml:space="preserve">11.500,00 TL</w:t>
      </w:r>
      <w:r>
        <w:t xml:space="preserve">’dir. Aşağıdaki birim bedeller</w:t>
      </w:r>
      <w:r>
        <w:t xml:space="preserve"> </w:t>
      </w:r>
      <w:r>
        <w:rPr>
          <w:b/>
          <w:bCs/>
        </w:rPr>
        <w:t xml:space="preserve">KDV dahil tahmini planlama ödenekleridir; satıcı teklifleri veya doğrulanmış ürün fiyatları değildir.</w:t>
      </w:r>
      <w:r>
        <w:t xml:space="preserve"> </w:t>
      </w:r>
      <w:r>
        <w:t xml:space="preserve">Tarihli satış fiyatı gözlemleri, tahminlerin dayanağı olarak ayrı tutulmuştur. Talep edilecek tutar henüz kullanıcı tarafından seçilmemiştir.</w:t>
      </w:r>
    </w:p>
    <w:bookmarkStart w:id="20" w:name="kapsam-ve-toplam"/>
    <w:p>
      <w:pPr>
        <w:pStyle w:val="Heading2"/>
      </w:pPr>
      <w:r>
        <w:t xml:space="preserve">Kapsam ve toplam</w:t>
      </w:r>
    </w:p>
    <w:p>
      <w:pPr>
        <w:pStyle w:val="FirstParagraph"/>
      </w:pPr>
      <w:r>
        <w:t xml:space="preserve">Plan; bir araç prototipi, iki enkoderli motor, beş sabit ToF öncelikli sensör, bilgisayar öncelikli arayüz ve seçilen 40 denemelik değerlendirme için hazırlanmıştır. Altı aylık iş planı, 10 cm waypoint/rotaya dönüş ve 120 saniye deneme hedefleri korunmuştur.</w:t>
      </w:r>
    </w:p>
    <w:tbl>
      <w:tblPr>
        <w:tblStyle w:val="TableGrid"/>
        <w:tblW w:type="auto" w:w="0"/>
        <w:jc w:val="left"/>
        <w:tblLayout w:type="fixed"/>
        <w:tblLook w:firstRow="1" w:lastRow="0" w:firstColumn="0" w:lastColumn="0" w:noHBand="0" w:noVBand="0" w:val="0020"/>
      </w:tblPr>
      <w:tblGrid>
        <w:gridCol w:w="2381"/>
        <w:gridCol w:w="7257"/>
      </w:tblGrid>
      <w:tr>
        <w:trPr>
          <w:tblHeader w:val="on"/>
          <w:tblHeader/>
          <w:cantSplit/>
        </w:trPr>
        <w:tc>
          <w:tcPr>
            <w:tcW w:type="dxa" w:w="2381"/>
            <w:vAlign w:val="top"/>
            <w:shd w:fill="EAF1F7"/>
          </w:tcPr>
          <w:p>
            <w:pPr>
              <w:pStyle w:val="Compact"/>
              <w:spacing w:after="60" w:line="252" w:lineRule="auto"/>
              <w:jc w:val="left"/>
            </w:pPr>
            <w:r>
              <w:rPr>
                <w:b/>
                <w:sz w:val="19"/>
              </w:rPr>
              <w:t xml:space="preserve">Grup</w:t>
            </w:r>
          </w:p>
        </w:tc>
        <w:tc>
          <w:tcPr>
            <w:tcW w:type="dxa" w:w="7257"/>
            <w:vAlign w:val="top"/>
            <w:shd w:fill="EAF1F7"/>
          </w:tcPr>
          <w:p>
            <w:pPr>
              <w:pStyle w:val="Compact"/>
              <w:spacing w:after="60" w:line="252" w:lineRule="auto"/>
              <w:jc w:val="left"/>
            </w:pPr>
            <w:r>
              <w:rPr>
                <w:b/>
                <w:sz w:val="19"/>
              </w:rPr>
              <w:t xml:space="preserve">Planlanan tutar</w:t>
            </w:r>
          </w:p>
        </w:tc>
      </w:tr>
      <w:tr>
        <w:trPr>
          <w:cantSplit/>
        </w:trPr>
        <w:tc>
          <w:tcPr>
            <w:tcW w:type="dxa" w:w="2381"/>
            <w:vAlign w:val="top"/>
          </w:tcPr>
          <w:p>
            <w:pPr>
              <w:pStyle w:val="Compact"/>
              <w:spacing w:after="60" w:line="252" w:lineRule="auto"/>
              <w:jc w:val="left"/>
            </w:pPr>
            <w:r>
              <w:rPr>
                <w:sz w:val="19"/>
              </w:rPr>
              <w:t xml:space="preserve">Kontrol ve algılama</w:t>
            </w:r>
          </w:p>
        </w:tc>
        <w:tc>
          <w:tcPr>
            <w:tcW w:type="dxa" w:w="7257"/>
            <w:vAlign w:val="top"/>
          </w:tcPr>
          <w:p>
            <w:pPr>
              <w:pStyle w:val="Compact"/>
              <w:spacing w:after="60" w:line="252" w:lineRule="auto"/>
              <w:jc w:val="left"/>
            </w:pPr>
            <w:r>
              <w:rPr>
                <w:sz w:val="19"/>
              </w:rPr>
              <w:t xml:space="preserve">3.500,00 TL</w:t>
            </w:r>
          </w:p>
        </w:tc>
      </w:tr>
      <w:tr>
        <w:trPr>
          <w:cantSplit/>
        </w:trPr>
        <w:tc>
          <w:tcPr>
            <w:tcW w:type="dxa" w:w="2381"/>
            <w:vAlign w:val="top"/>
          </w:tcPr>
          <w:p>
            <w:pPr>
              <w:pStyle w:val="Compact"/>
              <w:spacing w:after="60" w:line="252" w:lineRule="auto"/>
              <w:jc w:val="left"/>
            </w:pPr>
            <w:r>
              <w:rPr>
                <w:sz w:val="19"/>
              </w:rPr>
              <w:t xml:space="preserve">Hareket ve şasi</w:t>
            </w:r>
          </w:p>
        </w:tc>
        <w:tc>
          <w:tcPr>
            <w:tcW w:type="dxa" w:w="7257"/>
            <w:vAlign w:val="top"/>
          </w:tcPr>
          <w:p>
            <w:pPr>
              <w:pStyle w:val="Compact"/>
              <w:spacing w:after="60" w:line="252" w:lineRule="auto"/>
              <w:jc w:val="left"/>
            </w:pPr>
            <w:r>
              <w:rPr>
                <w:sz w:val="19"/>
              </w:rPr>
              <w:t xml:space="preserve">2.850,00 TL</w:t>
            </w:r>
          </w:p>
        </w:tc>
      </w:tr>
      <w:tr>
        <w:trPr>
          <w:cantSplit/>
        </w:trPr>
        <w:tc>
          <w:tcPr>
            <w:tcW w:type="dxa" w:w="2381"/>
            <w:vAlign w:val="top"/>
          </w:tcPr>
          <w:p>
            <w:pPr>
              <w:pStyle w:val="Compact"/>
              <w:spacing w:after="60" w:line="252" w:lineRule="auto"/>
              <w:jc w:val="left"/>
            </w:pPr>
            <w:r>
              <w:rPr>
                <w:sz w:val="19"/>
              </w:rPr>
              <w:t xml:space="preserve">Güç sistemi</w:t>
            </w:r>
          </w:p>
        </w:tc>
        <w:tc>
          <w:tcPr>
            <w:tcW w:type="dxa" w:w="7257"/>
            <w:vAlign w:val="top"/>
          </w:tcPr>
          <w:p>
            <w:pPr>
              <w:pStyle w:val="Compact"/>
              <w:spacing w:after="60" w:line="252" w:lineRule="auto"/>
              <w:jc w:val="left"/>
            </w:pPr>
            <w:r>
              <w:rPr>
                <w:sz w:val="19"/>
              </w:rPr>
              <w:t xml:space="preserve">2.850,00 TL</w:t>
            </w:r>
          </w:p>
        </w:tc>
      </w:tr>
      <w:tr>
        <w:trPr>
          <w:cantSplit/>
        </w:trPr>
        <w:tc>
          <w:tcPr>
            <w:tcW w:type="dxa" w:w="2381"/>
            <w:vAlign w:val="top"/>
          </w:tcPr>
          <w:p>
            <w:pPr>
              <w:pStyle w:val="Compact"/>
              <w:spacing w:after="60" w:line="252" w:lineRule="auto"/>
              <w:jc w:val="left"/>
            </w:pPr>
            <w:r>
              <w:rPr>
                <w:sz w:val="19"/>
              </w:rPr>
              <w:t xml:space="preserve">Montaj ve bağlantı</w:t>
            </w:r>
          </w:p>
        </w:tc>
        <w:tc>
          <w:tcPr>
            <w:tcW w:type="dxa" w:w="7257"/>
            <w:vAlign w:val="top"/>
          </w:tcPr>
          <w:p>
            <w:pPr>
              <w:pStyle w:val="Compact"/>
              <w:spacing w:after="60" w:line="252" w:lineRule="auto"/>
              <w:jc w:val="left"/>
            </w:pPr>
            <w:r>
              <w:rPr>
                <w:sz w:val="19"/>
              </w:rPr>
              <w:t xml:space="preserve">700,00 TL</w:t>
            </w:r>
          </w:p>
        </w:tc>
      </w:tr>
      <w:tr>
        <w:trPr>
          <w:cantSplit/>
        </w:trPr>
        <w:tc>
          <w:tcPr>
            <w:tcW w:type="dxa" w:w="2381"/>
            <w:vAlign w:val="top"/>
          </w:tcPr>
          <w:p>
            <w:pPr>
              <w:pStyle w:val="Compact"/>
              <w:spacing w:after="60" w:line="252" w:lineRule="auto"/>
              <w:jc w:val="left"/>
            </w:pPr>
            <w:r>
              <w:rPr>
                <w:sz w:val="19"/>
              </w:rPr>
              <w:t xml:space="preserve">Deney düzeni</w:t>
            </w:r>
          </w:p>
        </w:tc>
        <w:tc>
          <w:tcPr>
            <w:tcW w:type="dxa" w:w="7257"/>
            <w:vAlign w:val="top"/>
          </w:tcPr>
          <w:p>
            <w:pPr>
              <w:pStyle w:val="Compact"/>
              <w:spacing w:after="60" w:line="252" w:lineRule="auto"/>
              <w:jc w:val="left"/>
            </w:pPr>
            <w:r>
              <w:rPr>
                <w:sz w:val="19"/>
              </w:rPr>
              <w:t xml:space="preserve">1.300,00 TL</w:t>
            </w:r>
          </w:p>
        </w:tc>
      </w:tr>
      <w:tr>
        <w:trPr>
          <w:cantSplit/>
        </w:trPr>
        <w:tc>
          <w:tcPr>
            <w:tcW w:type="dxa" w:w="2381"/>
            <w:vAlign w:val="top"/>
          </w:tcPr>
          <w:p>
            <w:pPr>
              <w:pStyle w:val="Compact"/>
              <w:spacing w:after="60" w:line="252" w:lineRule="auto"/>
              <w:jc w:val="left"/>
            </w:pPr>
            <w:r>
              <w:rPr>
                <w:sz w:val="19"/>
              </w:rPr>
              <w:t xml:space="preserve">Yurt içi teslim</w:t>
            </w:r>
          </w:p>
        </w:tc>
        <w:tc>
          <w:tcPr>
            <w:tcW w:type="dxa" w:w="7257"/>
            <w:vAlign w:val="top"/>
          </w:tcPr>
          <w:p>
            <w:pPr>
              <w:pStyle w:val="Compact"/>
              <w:spacing w:after="60" w:line="252" w:lineRule="auto"/>
              <w:jc w:val="left"/>
            </w:pPr>
            <w:r>
              <w:rPr>
                <w:sz w:val="19"/>
              </w:rPr>
              <w:t xml:space="preserve">300,00 TL</w:t>
            </w:r>
          </w:p>
        </w:tc>
      </w:tr>
      <w:tr>
        <w:trPr>
          <w:cantSplit/>
        </w:trPr>
        <w:tc>
          <w:tcPr>
            <w:tcW w:type="dxa" w:w="2381"/>
            <w:vAlign w:val="top"/>
          </w:tcPr>
          <w:p>
            <w:pPr>
              <w:pStyle w:val="Compact"/>
              <w:spacing w:after="60" w:line="252" w:lineRule="auto"/>
              <w:jc w:val="left"/>
            </w:pPr>
            <w:r>
              <w:rPr>
                <w:b/>
                <w:bCs/>
                <w:sz w:val="19"/>
              </w:rPr>
              <w:t xml:space="preserve">Toplam öneri</w:t>
            </w:r>
          </w:p>
        </w:tc>
        <w:tc>
          <w:tcPr>
            <w:tcW w:type="dxa" w:w="7257"/>
            <w:vAlign w:val="top"/>
          </w:tcPr>
          <w:p>
            <w:pPr>
              <w:pStyle w:val="Compact"/>
              <w:spacing w:after="60" w:line="252" w:lineRule="auto"/>
              <w:jc w:val="left"/>
            </w:pPr>
            <w:r>
              <w:rPr>
                <w:b/>
                <w:bCs/>
                <w:sz w:val="19"/>
              </w:rPr>
              <w:t xml:space="preserve">11.500,00 TL</w:t>
            </w:r>
          </w:p>
        </w:tc>
      </w:tr>
    </w:tbl>
    <w:p>
      <w:pPr>
        <w:pStyle w:val="BodyText"/>
      </w:pPr>
      <w:r>
        <w:t xml:space="preserve">Program sayfasındaki 12.000 TL üst sınırına göre talep dışındaki aritmetik fark</w:t>
      </w:r>
      <w:r>
        <w:t xml:space="preserve"> </w:t>
      </w:r>
      <w:r>
        <w:rPr>
          <w:b/>
          <w:bCs/>
        </w:rPr>
        <w:t xml:space="preserve">500,00 TL</w:t>
      </w:r>
      <w:r>
        <w:t xml:space="preserve">’dir. Bütçeye</w:t>
      </w:r>
      <w:r>
        <w:t xml:space="preserve"> </w:t>
      </w:r>
      <w:r>
        <w:t xml:space="preserve">“</w:t>
      </w:r>
      <w:r>
        <w:t xml:space="preserve">beklenmeyen gider</w:t>
      </w:r>
      <w:r>
        <w:t xml:space="preserve">”</w:t>
      </w:r>
      <w:r>
        <w:t xml:space="preserve"> </w:t>
      </w:r>
      <w:r>
        <w:t xml:space="preserve">veya karşılıksız bir yedek tutar eklenmemiştir.</w:t>
      </w:r>
    </w:p>
    <w:bookmarkEnd w:id="20"/>
    <w:bookmarkStart w:id="21" w:name="kalemlere-göre-planlama"/>
    <w:p>
      <w:pPr>
        <w:pStyle w:val="Heading2"/>
      </w:pPr>
      <w:r>
        <w:t xml:space="preserve">Kalemlere göre planlama</w:t>
      </w:r>
    </w:p>
    <w:tbl>
      <w:tblPr>
        <w:tblStyle w:val="TableGrid"/>
        <w:tblW w:type="pct" w:w="5000"/>
        <w:jc w:val="left"/>
        <w:tblLayout w:type="fixed"/>
        <w:tblLook w:firstRow="1" w:lastRow="0" w:firstColumn="0" w:lastColumn="0" w:noHBand="0" w:noVBand="0" w:val="0020"/>
      </w:tblPr>
      <w:tblGrid>
        <w:gridCol w:w="4819"/>
        <w:gridCol w:w="964"/>
        <w:gridCol w:w="1928"/>
        <w:gridCol w:w="1928"/>
      </w:tblGrid>
      <w:tr>
        <w:trPr>
          <w:tblHeader w:val="on"/>
          <w:tblHeader/>
          <w:cantSplit/>
        </w:trPr>
        <w:tc>
          <w:tcPr>
            <w:tcW w:type="dxa" w:w="4819"/>
            <w:vAlign w:val="top"/>
            <w:shd w:fill="EAF1F7"/>
          </w:tcPr>
          <w:p>
            <w:pPr>
              <w:pStyle w:val="Compact"/>
              <w:spacing w:after="60" w:line="252" w:lineRule="auto"/>
              <w:jc w:val="left"/>
            </w:pPr>
            <w:r>
              <w:rPr>
                <w:b/>
                <w:sz w:val="19"/>
              </w:rPr>
              <w:t xml:space="preserve">Kalem</w:t>
            </w:r>
          </w:p>
        </w:tc>
        <w:tc>
          <w:tcPr>
            <w:tcW w:type="dxa" w:w="964"/>
            <w:vAlign w:val="top"/>
            <w:shd w:fill="EAF1F7"/>
          </w:tcPr>
          <w:p>
            <w:pPr>
              <w:pStyle w:val="Compact"/>
              <w:spacing w:after="60" w:line="252" w:lineRule="auto"/>
              <w:jc w:val="left"/>
            </w:pPr>
            <w:r>
              <w:rPr>
                <w:b/>
                <w:sz w:val="19"/>
              </w:rPr>
              <w:t xml:space="preserve">Miktar</w:t>
            </w:r>
          </w:p>
        </w:tc>
        <w:tc>
          <w:tcPr>
            <w:tcW w:type="dxa" w:w="1928"/>
            <w:vAlign w:val="top"/>
            <w:shd w:fill="EAF1F7"/>
          </w:tcPr>
          <w:p>
            <w:pPr>
              <w:pStyle w:val="Compact"/>
              <w:spacing w:after="60" w:line="252" w:lineRule="auto"/>
              <w:jc w:val="left"/>
            </w:pPr>
            <w:r>
              <w:rPr>
                <w:b/>
                <w:sz w:val="19"/>
              </w:rPr>
              <w:t xml:space="preserve">Birim ödenek</w:t>
            </w:r>
          </w:p>
        </w:tc>
        <w:tc>
          <w:tcPr>
            <w:tcW w:type="dxa" w:w="1928"/>
            <w:vAlign w:val="top"/>
            <w:shd w:fill="EAF1F7"/>
          </w:tcPr>
          <w:p>
            <w:pPr>
              <w:pStyle w:val="Compact"/>
              <w:spacing w:after="60" w:line="252" w:lineRule="auto"/>
              <w:jc w:val="left"/>
            </w:pPr>
            <w:r>
              <w:rPr>
                <w:b/>
                <w:sz w:val="19"/>
              </w:rPr>
              <w:t xml:space="preserve">Toplam</w:t>
            </w:r>
          </w:p>
        </w:tc>
      </w:tr>
      <w:tr>
        <w:trPr>
          <w:cantSplit/>
        </w:trPr>
        <w:tc>
          <w:tcPr>
            <w:tcW w:type="dxa" w:w="4819"/>
            <w:vAlign w:val="top"/>
          </w:tcPr>
          <w:p>
            <w:pPr>
              <w:pStyle w:val="Compact"/>
              <w:spacing w:after="60" w:line="252" w:lineRule="auto"/>
              <w:jc w:val="left"/>
            </w:pPr>
            <w:r>
              <w:rPr>
                <w:sz w:val="19"/>
              </w:rPr>
              <w:t xml:space="preserve">K01 — ESP32 geliştirme kartı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700,00 TL</w:t>
            </w:r>
          </w:p>
        </w:tc>
        <w:tc>
          <w:tcPr>
            <w:tcW w:type="dxa" w:w="1928"/>
            <w:vAlign w:val="top"/>
          </w:tcPr>
          <w:p>
            <w:pPr>
              <w:pStyle w:val="Compact"/>
              <w:spacing w:after="60" w:line="252" w:lineRule="auto"/>
              <w:jc w:val="left"/>
            </w:pPr>
            <w:r>
              <w:rPr>
                <w:sz w:val="19"/>
              </w:rPr>
              <w:t xml:space="preserve">700,00 TL</w:t>
            </w:r>
          </w:p>
        </w:tc>
      </w:tr>
      <w:tr>
        <w:trPr>
          <w:cantSplit/>
        </w:trPr>
        <w:tc>
          <w:tcPr>
            <w:tcW w:type="dxa" w:w="4819"/>
            <w:vAlign w:val="top"/>
          </w:tcPr>
          <w:p>
            <w:pPr>
              <w:pStyle w:val="Compact"/>
              <w:spacing w:after="60" w:line="252" w:lineRule="auto"/>
              <w:jc w:val="left"/>
            </w:pPr>
            <w:r>
              <w:rPr>
                <w:sz w:val="19"/>
              </w:rPr>
              <w:t xml:space="preserve">K02 — Sabit ToF mesafe sensörü</w:t>
            </w:r>
          </w:p>
        </w:tc>
        <w:tc>
          <w:tcPr>
            <w:tcW w:type="dxa" w:w="964"/>
            <w:vAlign w:val="top"/>
          </w:tcPr>
          <w:p>
            <w:pPr>
              <w:pStyle w:val="Compact"/>
              <w:spacing w:after="60" w:line="252" w:lineRule="auto"/>
              <w:jc w:val="left"/>
            </w:pPr>
            <w:r>
              <w:rPr>
                <w:sz w:val="19"/>
              </w:rPr>
              <w:t xml:space="preserve">5 adet</w:t>
            </w:r>
          </w:p>
        </w:tc>
        <w:tc>
          <w:tcPr>
            <w:tcW w:type="dxa" w:w="1928"/>
            <w:vAlign w:val="top"/>
          </w:tcPr>
          <w:p>
            <w:pPr>
              <w:pStyle w:val="Compact"/>
              <w:spacing w:after="60" w:line="252" w:lineRule="auto"/>
              <w:jc w:val="left"/>
            </w:pPr>
            <w:r>
              <w:rPr>
                <w:sz w:val="19"/>
              </w:rPr>
              <w:t xml:space="preserve">500,00 TL</w:t>
            </w:r>
          </w:p>
        </w:tc>
        <w:tc>
          <w:tcPr>
            <w:tcW w:type="dxa" w:w="1928"/>
            <w:vAlign w:val="top"/>
          </w:tcPr>
          <w:p>
            <w:pPr>
              <w:pStyle w:val="Compact"/>
              <w:spacing w:after="60" w:line="252" w:lineRule="auto"/>
              <w:jc w:val="left"/>
            </w:pPr>
            <w:r>
              <w:rPr>
                <w:sz w:val="19"/>
              </w:rPr>
              <w:t xml:space="preserve">2.500,00 TL</w:t>
            </w:r>
          </w:p>
        </w:tc>
      </w:tr>
      <w:tr>
        <w:trPr>
          <w:cantSplit/>
        </w:trPr>
        <w:tc>
          <w:tcPr>
            <w:tcW w:type="dxa" w:w="4819"/>
            <w:vAlign w:val="top"/>
          </w:tcPr>
          <w:p>
            <w:pPr>
              <w:pStyle w:val="Compact"/>
              <w:spacing w:after="60" w:line="252" w:lineRule="auto"/>
              <w:jc w:val="left"/>
            </w:pPr>
            <w:r>
              <w:rPr>
                <w:sz w:val="19"/>
              </w:rPr>
              <w:t xml:space="preserve">K03 — I²C çoklayıcı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100,00 TL</w:t>
            </w:r>
          </w:p>
        </w:tc>
        <w:tc>
          <w:tcPr>
            <w:tcW w:type="dxa" w:w="1928"/>
            <w:vAlign w:val="top"/>
          </w:tcPr>
          <w:p>
            <w:pPr>
              <w:pStyle w:val="Compact"/>
              <w:spacing w:after="60" w:line="252" w:lineRule="auto"/>
              <w:jc w:val="left"/>
            </w:pPr>
            <w:r>
              <w:rPr>
                <w:sz w:val="19"/>
              </w:rPr>
              <w:t xml:space="preserve">100,00 TL</w:t>
            </w:r>
          </w:p>
        </w:tc>
      </w:tr>
      <w:tr>
        <w:trPr>
          <w:cantSplit/>
        </w:trPr>
        <w:tc>
          <w:tcPr>
            <w:tcW w:type="dxa" w:w="4819"/>
            <w:vAlign w:val="top"/>
          </w:tcPr>
          <w:p>
            <w:pPr>
              <w:pStyle w:val="Compact"/>
              <w:spacing w:after="60" w:line="252" w:lineRule="auto"/>
              <w:jc w:val="left"/>
            </w:pPr>
            <w:r>
              <w:rPr>
                <w:sz w:val="19"/>
              </w:rPr>
              <w:t xml:space="preserve">K04 — Gerekli sinyal seviye uyarlama ve bağlantı parçaları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200,00 TL</w:t>
            </w:r>
          </w:p>
        </w:tc>
        <w:tc>
          <w:tcPr>
            <w:tcW w:type="dxa" w:w="1928"/>
            <w:vAlign w:val="top"/>
          </w:tcPr>
          <w:p>
            <w:pPr>
              <w:pStyle w:val="Compact"/>
              <w:spacing w:after="60" w:line="252" w:lineRule="auto"/>
              <w:jc w:val="left"/>
            </w:pPr>
            <w:r>
              <w:rPr>
                <w:sz w:val="19"/>
              </w:rPr>
              <w:t xml:space="preserve">200,00 TL</w:t>
            </w:r>
          </w:p>
        </w:tc>
      </w:tr>
      <w:tr>
        <w:trPr>
          <w:cantSplit/>
        </w:trPr>
        <w:tc>
          <w:tcPr>
            <w:tcW w:type="dxa" w:w="4819"/>
            <w:vAlign w:val="top"/>
          </w:tcPr>
          <w:p>
            <w:pPr>
              <w:pStyle w:val="Compact"/>
              <w:spacing w:after="60" w:line="252" w:lineRule="auto"/>
              <w:jc w:val="left"/>
            </w:pPr>
            <w:r>
              <w:rPr>
                <w:sz w:val="19"/>
              </w:rPr>
              <w:t xml:space="preserve">K05 — Enkoderli DC motor</w:t>
            </w:r>
          </w:p>
        </w:tc>
        <w:tc>
          <w:tcPr>
            <w:tcW w:type="dxa" w:w="964"/>
            <w:vAlign w:val="top"/>
          </w:tcPr>
          <w:p>
            <w:pPr>
              <w:pStyle w:val="Compact"/>
              <w:spacing w:after="60" w:line="252" w:lineRule="auto"/>
              <w:jc w:val="left"/>
            </w:pPr>
            <w:r>
              <w:rPr>
                <w:sz w:val="19"/>
              </w:rPr>
              <w:t xml:space="preserve">2 adet</w:t>
            </w:r>
          </w:p>
        </w:tc>
        <w:tc>
          <w:tcPr>
            <w:tcW w:type="dxa" w:w="1928"/>
            <w:vAlign w:val="top"/>
          </w:tcPr>
          <w:p>
            <w:pPr>
              <w:pStyle w:val="Compact"/>
              <w:spacing w:after="60" w:line="252" w:lineRule="auto"/>
              <w:jc w:val="left"/>
            </w:pPr>
            <w:r>
              <w:rPr>
                <w:sz w:val="19"/>
              </w:rPr>
              <w:t xml:space="preserve">600,00 TL</w:t>
            </w:r>
          </w:p>
        </w:tc>
        <w:tc>
          <w:tcPr>
            <w:tcW w:type="dxa" w:w="1928"/>
            <w:vAlign w:val="top"/>
          </w:tcPr>
          <w:p>
            <w:pPr>
              <w:pStyle w:val="Compact"/>
              <w:spacing w:after="60" w:line="252" w:lineRule="auto"/>
              <w:jc w:val="left"/>
            </w:pPr>
            <w:r>
              <w:rPr>
                <w:sz w:val="19"/>
              </w:rPr>
              <w:t xml:space="preserve">1.200,00 TL</w:t>
            </w:r>
          </w:p>
        </w:tc>
      </w:tr>
      <w:tr>
        <w:trPr>
          <w:cantSplit/>
        </w:trPr>
        <w:tc>
          <w:tcPr>
            <w:tcW w:type="dxa" w:w="4819"/>
            <w:vAlign w:val="top"/>
          </w:tcPr>
          <w:p>
            <w:pPr>
              <w:pStyle w:val="Compact"/>
              <w:spacing w:after="60" w:line="252" w:lineRule="auto"/>
              <w:jc w:val="left"/>
            </w:pPr>
            <w:r>
              <w:rPr>
                <w:sz w:val="19"/>
              </w:rPr>
              <w:t xml:space="preserve">K06 — İki motor için uygun sürücü düzeni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400,00 TL</w:t>
            </w:r>
          </w:p>
        </w:tc>
        <w:tc>
          <w:tcPr>
            <w:tcW w:type="dxa" w:w="1928"/>
            <w:vAlign w:val="top"/>
          </w:tcPr>
          <w:p>
            <w:pPr>
              <w:pStyle w:val="Compact"/>
              <w:spacing w:after="60" w:line="252" w:lineRule="auto"/>
              <w:jc w:val="left"/>
            </w:pPr>
            <w:r>
              <w:rPr>
                <w:sz w:val="19"/>
              </w:rPr>
              <w:t xml:space="preserve">400,00 TL</w:t>
            </w:r>
          </w:p>
        </w:tc>
      </w:tr>
      <w:tr>
        <w:trPr>
          <w:cantSplit/>
        </w:trPr>
        <w:tc>
          <w:tcPr>
            <w:tcW w:type="dxa" w:w="4819"/>
            <w:vAlign w:val="top"/>
          </w:tcPr>
          <w:p>
            <w:pPr>
              <w:pStyle w:val="Compact"/>
              <w:spacing w:after="60" w:line="252" w:lineRule="auto"/>
              <w:jc w:val="left"/>
            </w:pPr>
            <w:r>
              <w:rPr>
                <w:sz w:val="19"/>
              </w:rPr>
              <w:t xml:space="preserve">K07 — İki tekerlek ve iki motor bağlantı aparatı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400,00 TL</w:t>
            </w:r>
          </w:p>
        </w:tc>
        <w:tc>
          <w:tcPr>
            <w:tcW w:type="dxa" w:w="1928"/>
            <w:vAlign w:val="top"/>
          </w:tcPr>
          <w:p>
            <w:pPr>
              <w:pStyle w:val="Compact"/>
              <w:spacing w:after="60" w:line="252" w:lineRule="auto"/>
              <w:jc w:val="left"/>
            </w:pPr>
            <w:r>
              <w:rPr>
                <w:sz w:val="19"/>
              </w:rPr>
              <w:t xml:space="preserve">400,00 TL</w:t>
            </w:r>
          </w:p>
        </w:tc>
      </w:tr>
      <w:tr>
        <w:trPr>
          <w:cantSplit/>
        </w:trPr>
        <w:tc>
          <w:tcPr>
            <w:tcW w:type="dxa" w:w="4819"/>
            <w:vAlign w:val="top"/>
          </w:tcPr>
          <w:p>
            <w:pPr>
              <w:pStyle w:val="Compact"/>
              <w:spacing w:after="60" w:line="252" w:lineRule="auto"/>
              <w:jc w:val="left"/>
            </w:pPr>
            <w:r>
              <w:rPr>
                <w:sz w:val="19"/>
              </w:rPr>
              <w:t xml:space="preserve">K08 — Boş şasi veya şasi imalatı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750,00 TL</w:t>
            </w:r>
          </w:p>
        </w:tc>
        <w:tc>
          <w:tcPr>
            <w:tcW w:type="dxa" w:w="1928"/>
            <w:vAlign w:val="top"/>
          </w:tcPr>
          <w:p>
            <w:pPr>
              <w:pStyle w:val="Compact"/>
              <w:spacing w:after="60" w:line="252" w:lineRule="auto"/>
              <w:jc w:val="left"/>
            </w:pPr>
            <w:r>
              <w:rPr>
                <w:sz w:val="19"/>
              </w:rPr>
              <w:t xml:space="preserve">750,00 TL</w:t>
            </w:r>
          </w:p>
        </w:tc>
      </w:tr>
      <w:tr>
        <w:trPr>
          <w:cantSplit/>
        </w:trPr>
        <w:tc>
          <w:tcPr>
            <w:tcW w:type="dxa" w:w="4819"/>
            <w:vAlign w:val="top"/>
          </w:tcPr>
          <w:p>
            <w:pPr>
              <w:pStyle w:val="Compact"/>
              <w:spacing w:after="60" w:line="252" w:lineRule="auto"/>
              <w:jc w:val="left"/>
            </w:pPr>
            <w:r>
              <w:rPr>
                <w:sz w:val="19"/>
              </w:rPr>
              <w:t xml:space="preserve">K09 — Serbest taşıyıcı tekerlek paketi</w:t>
            </w:r>
          </w:p>
        </w:tc>
        <w:tc>
          <w:tcPr>
            <w:tcW w:type="dxa" w:w="964"/>
            <w:vAlign w:val="top"/>
          </w:tcPr>
          <w:p>
            <w:pPr>
              <w:pStyle w:val="Compact"/>
              <w:spacing w:after="60" w:line="252" w:lineRule="auto"/>
              <w:jc w:val="left"/>
            </w:pPr>
            <w:r>
              <w:rPr>
                <w:sz w:val="19"/>
              </w:rPr>
              <w:t xml:space="preserve">1 paket</w:t>
            </w:r>
          </w:p>
        </w:tc>
        <w:tc>
          <w:tcPr>
            <w:tcW w:type="dxa" w:w="1928"/>
            <w:vAlign w:val="top"/>
          </w:tcPr>
          <w:p>
            <w:pPr>
              <w:pStyle w:val="Compact"/>
              <w:spacing w:after="60" w:line="252" w:lineRule="auto"/>
              <w:jc w:val="left"/>
            </w:pPr>
            <w:r>
              <w:rPr>
                <w:sz w:val="19"/>
              </w:rPr>
              <w:t xml:space="preserve">100,00 TL</w:t>
            </w:r>
          </w:p>
        </w:tc>
        <w:tc>
          <w:tcPr>
            <w:tcW w:type="dxa" w:w="1928"/>
            <w:vAlign w:val="top"/>
          </w:tcPr>
          <w:p>
            <w:pPr>
              <w:pStyle w:val="Compact"/>
              <w:spacing w:after="60" w:line="252" w:lineRule="auto"/>
              <w:jc w:val="left"/>
            </w:pPr>
            <w:r>
              <w:rPr>
                <w:sz w:val="19"/>
              </w:rPr>
              <w:t xml:space="preserve">100,00 TL</w:t>
            </w:r>
          </w:p>
        </w:tc>
      </w:tr>
      <w:tr>
        <w:trPr>
          <w:cantSplit/>
        </w:trPr>
        <w:tc>
          <w:tcPr>
            <w:tcW w:type="dxa" w:w="4819"/>
            <w:vAlign w:val="top"/>
          </w:tcPr>
          <w:p>
            <w:pPr>
              <w:pStyle w:val="Compact"/>
              <w:spacing w:after="60" w:line="252" w:lineRule="auto"/>
              <w:jc w:val="left"/>
            </w:pPr>
            <w:r>
              <w:rPr>
                <w:sz w:val="19"/>
              </w:rPr>
              <w:t xml:space="preserve">K10 — Uygun hazır batarya paketi</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1.200,00 TL</w:t>
            </w:r>
          </w:p>
        </w:tc>
        <w:tc>
          <w:tcPr>
            <w:tcW w:type="dxa" w:w="1928"/>
            <w:vAlign w:val="top"/>
          </w:tcPr>
          <w:p>
            <w:pPr>
              <w:pStyle w:val="Compact"/>
              <w:spacing w:after="60" w:line="252" w:lineRule="auto"/>
              <w:jc w:val="left"/>
            </w:pPr>
            <w:r>
              <w:rPr>
                <w:sz w:val="19"/>
              </w:rPr>
              <w:t xml:space="preserve">1.200,00 TL</w:t>
            </w:r>
          </w:p>
        </w:tc>
      </w:tr>
      <w:tr>
        <w:trPr>
          <w:cantSplit/>
        </w:trPr>
        <w:tc>
          <w:tcPr>
            <w:tcW w:type="dxa" w:w="4819"/>
            <w:vAlign w:val="top"/>
          </w:tcPr>
          <w:p>
            <w:pPr>
              <w:pStyle w:val="Compact"/>
              <w:spacing w:after="60" w:line="252" w:lineRule="auto"/>
              <w:jc w:val="left"/>
            </w:pPr>
            <w:r>
              <w:rPr>
                <w:sz w:val="19"/>
              </w:rPr>
              <w:t xml:space="preserve">K11 — Bataryayla uyumlu şarj cihazı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1.000,00 TL</w:t>
            </w:r>
          </w:p>
        </w:tc>
        <w:tc>
          <w:tcPr>
            <w:tcW w:type="dxa" w:w="1928"/>
            <w:vAlign w:val="top"/>
          </w:tcPr>
          <w:p>
            <w:pPr>
              <w:pStyle w:val="Compact"/>
              <w:spacing w:after="60" w:line="252" w:lineRule="auto"/>
              <w:jc w:val="left"/>
            </w:pPr>
            <w:r>
              <w:rPr>
                <w:sz w:val="19"/>
              </w:rPr>
              <w:t xml:space="preserve">1.000,00 TL</w:t>
            </w:r>
          </w:p>
        </w:tc>
      </w:tr>
      <w:tr>
        <w:trPr>
          <w:cantSplit/>
        </w:trPr>
        <w:tc>
          <w:tcPr>
            <w:tcW w:type="dxa" w:w="4819"/>
            <w:vAlign w:val="top"/>
          </w:tcPr>
          <w:p>
            <w:pPr>
              <w:pStyle w:val="Compact"/>
              <w:spacing w:after="60" w:line="252" w:lineRule="auto"/>
              <w:jc w:val="left"/>
            </w:pPr>
            <w:r>
              <w:rPr>
                <w:sz w:val="19"/>
              </w:rPr>
              <w:t xml:space="preserve">K12 — 5 V ve 3,3 V gerilim düzenleme</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350,00 TL</w:t>
            </w:r>
          </w:p>
        </w:tc>
        <w:tc>
          <w:tcPr>
            <w:tcW w:type="dxa" w:w="1928"/>
            <w:vAlign w:val="top"/>
          </w:tcPr>
          <w:p>
            <w:pPr>
              <w:pStyle w:val="Compact"/>
              <w:spacing w:after="60" w:line="252" w:lineRule="auto"/>
              <w:jc w:val="left"/>
            </w:pPr>
            <w:r>
              <w:rPr>
                <w:sz w:val="19"/>
              </w:rPr>
              <w:t xml:space="preserve">350,00 TL</w:t>
            </w:r>
          </w:p>
        </w:tc>
      </w:tr>
      <w:tr>
        <w:trPr>
          <w:cantSplit/>
        </w:trPr>
        <w:tc>
          <w:tcPr>
            <w:tcW w:type="dxa" w:w="4819"/>
            <w:vAlign w:val="top"/>
          </w:tcPr>
          <w:p>
            <w:pPr>
              <w:pStyle w:val="Compact"/>
              <w:spacing w:after="60" w:line="252" w:lineRule="auto"/>
              <w:jc w:val="left"/>
            </w:pPr>
            <w:r>
              <w:rPr>
                <w:sz w:val="19"/>
              </w:rPr>
              <w:t xml:space="preserve">K13 — Güç kablosu, anahtar, sigorta, konnektör ve gerekli paket koruması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300,00 TL</w:t>
            </w:r>
          </w:p>
        </w:tc>
        <w:tc>
          <w:tcPr>
            <w:tcW w:type="dxa" w:w="1928"/>
            <w:vAlign w:val="top"/>
          </w:tcPr>
          <w:p>
            <w:pPr>
              <w:pStyle w:val="Compact"/>
              <w:spacing w:after="60" w:line="252" w:lineRule="auto"/>
              <w:jc w:val="left"/>
            </w:pPr>
            <w:r>
              <w:rPr>
                <w:sz w:val="19"/>
              </w:rPr>
              <w:t xml:space="preserve">300,00 TL</w:t>
            </w:r>
          </w:p>
        </w:tc>
      </w:tr>
      <w:tr>
        <w:trPr>
          <w:cantSplit/>
        </w:trPr>
        <w:tc>
          <w:tcPr>
            <w:tcW w:type="dxa" w:w="4819"/>
            <w:vAlign w:val="top"/>
          </w:tcPr>
          <w:p>
            <w:pPr>
              <w:pStyle w:val="Compact"/>
              <w:spacing w:after="60" w:line="252" w:lineRule="auto"/>
              <w:jc w:val="left"/>
            </w:pPr>
            <w:r>
              <w:rPr>
                <w:sz w:val="19"/>
              </w:rPr>
              <w:t xml:space="preserve">K14 — Pertinaks, USB ve sinyal kabloları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150,00 TL</w:t>
            </w:r>
          </w:p>
        </w:tc>
        <w:tc>
          <w:tcPr>
            <w:tcW w:type="dxa" w:w="1928"/>
            <w:vAlign w:val="top"/>
          </w:tcPr>
          <w:p>
            <w:pPr>
              <w:pStyle w:val="Compact"/>
              <w:spacing w:after="60" w:line="252" w:lineRule="auto"/>
              <w:jc w:val="left"/>
            </w:pPr>
            <w:r>
              <w:rPr>
                <w:sz w:val="19"/>
              </w:rPr>
              <w:t xml:space="preserve">150,00 TL</w:t>
            </w:r>
          </w:p>
        </w:tc>
      </w:tr>
      <w:tr>
        <w:trPr>
          <w:cantSplit/>
        </w:trPr>
        <w:tc>
          <w:tcPr>
            <w:tcW w:type="dxa" w:w="4819"/>
            <w:vAlign w:val="top"/>
          </w:tcPr>
          <w:p>
            <w:pPr>
              <w:pStyle w:val="Compact"/>
              <w:spacing w:after="60" w:line="252" w:lineRule="auto"/>
              <w:jc w:val="left"/>
            </w:pPr>
            <w:r>
              <w:rPr>
                <w:sz w:val="19"/>
              </w:rPr>
              <w:t xml:space="preserve">K15 — Dahil olmayan vida, distans ve bağlantı elemanları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250,00 TL</w:t>
            </w:r>
          </w:p>
        </w:tc>
        <w:tc>
          <w:tcPr>
            <w:tcW w:type="dxa" w:w="1928"/>
            <w:vAlign w:val="top"/>
          </w:tcPr>
          <w:p>
            <w:pPr>
              <w:pStyle w:val="Compact"/>
              <w:spacing w:after="60" w:line="252" w:lineRule="auto"/>
              <w:jc w:val="left"/>
            </w:pPr>
            <w:r>
              <w:rPr>
                <w:sz w:val="19"/>
              </w:rPr>
              <w:t xml:space="preserve">250,00 TL</w:t>
            </w:r>
          </w:p>
        </w:tc>
      </w:tr>
      <w:tr>
        <w:trPr>
          <w:cantSplit/>
        </w:trPr>
        <w:tc>
          <w:tcPr>
            <w:tcW w:type="dxa" w:w="4819"/>
            <w:vAlign w:val="top"/>
          </w:tcPr>
          <w:p>
            <w:pPr>
              <w:pStyle w:val="Compact"/>
              <w:spacing w:after="60" w:line="252" w:lineRule="auto"/>
              <w:jc w:val="left"/>
            </w:pPr>
            <w:r>
              <w:rPr>
                <w:sz w:val="19"/>
              </w:rPr>
              <w:t xml:space="preserve">K16 — Sensör sabitleme aparatı/malzemesi</w:t>
            </w:r>
          </w:p>
        </w:tc>
        <w:tc>
          <w:tcPr>
            <w:tcW w:type="dxa" w:w="964"/>
            <w:vAlign w:val="top"/>
          </w:tcPr>
          <w:p>
            <w:pPr>
              <w:pStyle w:val="Compact"/>
              <w:spacing w:after="60" w:line="252" w:lineRule="auto"/>
              <w:jc w:val="left"/>
            </w:pPr>
            <w:r>
              <w:rPr>
                <w:sz w:val="19"/>
              </w:rPr>
              <w:t xml:space="preserve">5 adet</w:t>
            </w:r>
          </w:p>
        </w:tc>
        <w:tc>
          <w:tcPr>
            <w:tcW w:type="dxa" w:w="1928"/>
            <w:vAlign w:val="top"/>
          </w:tcPr>
          <w:p>
            <w:pPr>
              <w:pStyle w:val="Compact"/>
              <w:spacing w:after="60" w:line="252" w:lineRule="auto"/>
              <w:jc w:val="left"/>
            </w:pPr>
            <w:r>
              <w:rPr>
                <w:sz w:val="19"/>
              </w:rPr>
              <w:t xml:space="preserve">60,00 TL</w:t>
            </w:r>
          </w:p>
        </w:tc>
        <w:tc>
          <w:tcPr>
            <w:tcW w:type="dxa" w:w="1928"/>
            <w:vAlign w:val="top"/>
          </w:tcPr>
          <w:p>
            <w:pPr>
              <w:pStyle w:val="Compact"/>
              <w:spacing w:after="60" w:line="252" w:lineRule="auto"/>
              <w:jc w:val="left"/>
            </w:pPr>
            <w:r>
              <w:rPr>
                <w:sz w:val="19"/>
              </w:rPr>
              <w:t xml:space="preserve">300,00 TL</w:t>
            </w:r>
          </w:p>
        </w:tc>
      </w:tr>
      <w:tr>
        <w:trPr>
          <w:cantSplit/>
        </w:trPr>
        <w:tc>
          <w:tcPr>
            <w:tcW w:type="dxa" w:w="4819"/>
            <w:vAlign w:val="top"/>
          </w:tcPr>
          <w:p>
            <w:pPr>
              <w:pStyle w:val="Compact"/>
              <w:spacing w:after="60" w:line="252" w:lineRule="auto"/>
              <w:jc w:val="left"/>
            </w:pPr>
            <w:r>
              <w:rPr>
                <w:sz w:val="19"/>
              </w:rPr>
              <w:t xml:space="preserve">K17 — Alan ve kalibrasyon işaretleme malzemesi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150,00 TL</w:t>
            </w:r>
          </w:p>
        </w:tc>
        <w:tc>
          <w:tcPr>
            <w:tcW w:type="dxa" w:w="1928"/>
            <w:vAlign w:val="top"/>
          </w:tcPr>
          <w:p>
            <w:pPr>
              <w:pStyle w:val="Compact"/>
              <w:spacing w:after="60" w:line="252" w:lineRule="auto"/>
              <w:jc w:val="left"/>
            </w:pPr>
            <w:r>
              <w:rPr>
                <w:sz w:val="19"/>
              </w:rPr>
              <w:t xml:space="preserve">150,00 TL</w:t>
            </w:r>
          </w:p>
        </w:tc>
      </w:tr>
      <w:tr>
        <w:trPr>
          <w:cantSplit/>
        </w:trPr>
        <w:tc>
          <w:tcPr>
            <w:tcW w:type="dxa" w:w="4819"/>
            <w:vAlign w:val="top"/>
          </w:tcPr>
          <w:p>
            <w:pPr>
              <w:pStyle w:val="Compact"/>
              <w:spacing w:after="60" w:line="252" w:lineRule="auto"/>
              <w:jc w:val="left"/>
            </w:pPr>
            <w:r>
              <w:rPr>
                <w:sz w:val="19"/>
              </w:rPr>
              <w:t xml:space="preserve">K18 — Sabit deney engeli malzemesi</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150,00 TL</w:t>
            </w:r>
          </w:p>
        </w:tc>
        <w:tc>
          <w:tcPr>
            <w:tcW w:type="dxa" w:w="1928"/>
            <w:vAlign w:val="top"/>
          </w:tcPr>
          <w:p>
            <w:pPr>
              <w:pStyle w:val="Compact"/>
              <w:spacing w:after="60" w:line="252" w:lineRule="auto"/>
              <w:jc w:val="left"/>
            </w:pPr>
            <w:r>
              <w:rPr>
                <w:sz w:val="19"/>
              </w:rPr>
              <w:t xml:space="preserve">150,00 TL</w:t>
            </w:r>
          </w:p>
        </w:tc>
      </w:tr>
      <w:tr>
        <w:trPr>
          <w:cantSplit/>
        </w:trPr>
        <w:tc>
          <w:tcPr>
            <w:tcW w:type="dxa" w:w="4819"/>
            <w:vAlign w:val="top"/>
          </w:tcPr>
          <w:p>
            <w:pPr>
              <w:pStyle w:val="Compact"/>
              <w:spacing w:after="60" w:line="252" w:lineRule="auto"/>
              <w:jc w:val="left"/>
            </w:pPr>
            <w:r>
              <w:rPr>
                <w:sz w:val="19"/>
              </w:rPr>
              <w:t xml:space="preserve">K19 — Mevcut telefon için sabitleme düzeni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500,00 TL</w:t>
            </w:r>
          </w:p>
        </w:tc>
        <w:tc>
          <w:tcPr>
            <w:tcW w:type="dxa" w:w="1928"/>
            <w:vAlign w:val="top"/>
          </w:tcPr>
          <w:p>
            <w:pPr>
              <w:pStyle w:val="Compact"/>
              <w:spacing w:after="60" w:line="252" w:lineRule="auto"/>
              <w:jc w:val="left"/>
            </w:pPr>
            <w:r>
              <w:rPr>
                <w:sz w:val="19"/>
              </w:rPr>
              <w:t xml:space="preserve">500,00 TL</w:t>
            </w:r>
          </w:p>
        </w:tc>
      </w:tr>
      <w:tr>
        <w:trPr>
          <w:cantSplit/>
        </w:trPr>
        <w:tc>
          <w:tcPr>
            <w:tcW w:type="dxa" w:w="4819"/>
            <w:vAlign w:val="top"/>
          </w:tcPr>
          <w:p>
            <w:pPr>
              <w:pStyle w:val="Compact"/>
              <w:spacing w:after="60" w:line="252" w:lineRule="auto"/>
              <w:jc w:val="left"/>
            </w:pPr>
            <w:r>
              <w:rPr>
                <w:sz w:val="19"/>
              </w:rPr>
              <w:t xml:space="preserve">K20 — Temel elektriksel kontroller için multimetre</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400,00 TL</w:t>
            </w:r>
          </w:p>
        </w:tc>
        <w:tc>
          <w:tcPr>
            <w:tcW w:type="dxa" w:w="1928"/>
            <w:vAlign w:val="top"/>
          </w:tcPr>
          <w:p>
            <w:pPr>
              <w:pStyle w:val="Compact"/>
              <w:spacing w:after="60" w:line="252" w:lineRule="auto"/>
              <w:jc w:val="left"/>
            </w:pPr>
            <w:r>
              <w:rPr>
                <w:sz w:val="19"/>
              </w:rPr>
              <w:t xml:space="preserve">400,00 TL</w:t>
            </w:r>
          </w:p>
        </w:tc>
      </w:tr>
      <w:tr>
        <w:trPr>
          <w:cantSplit/>
        </w:trPr>
        <w:tc>
          <w:tcPr>
            <w:tcW w:type="dxa" w:w="4819"/>
            <w:vAlign w:val="top"/>
          </w:tcPr>
          <w:p>
            <w:pPr>
              <w:pStyle w:val="Compact"/>
              <w:spacing w:after="60" w:line="252" w:lineRule="auto"/>
              <w:jc w:val="left"/>
            </w:pPr>
            <w:r>
              <w:rPr>
                <w:sz w:val="19"/>
              </w:rPr>
              <w:t xml:space="preserve">K21 — Uzunluk ölçüm aracı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100,00 TL</w:t>
            </w:r>
          </w:p>
        </w:tc>
        <w:tc>
          <w:tcPr>
            <w:tcW w:type="dxa" w:w="1928"/>
            <w:vAlign w:val="top"/>
          </w:tcPr>
          <w:p>
            <w:pPr>
              <w:pStyle w:val="Compact"/>
              <w:spacing w:after="60" w:line="252" w:lineRule="auto"/>
              <w:jc w:val="left"/>
            </w:pPr>
            <w:r>
              <w:rPr>
                <w:sz w:val="19"/>
              </w:rPr>
              <w:t xml:space="preserve">100,00 TL</w:t>
            </w:r>
          </w:p>
        </w:tc>
      </w:tr>
      <w:tr>
        <w:trPr>
          <w:cantSplit/>
        </w:trPr>
        <w:tc>
          <w:tcPr>
            <w:tcW w:type="dxa" w:w="4819"/>
            <w:vAlign w:val="top"/>
          </w:tcPr>
          <w:p>
            <w:pPr>
              <w:pStyle w:val="Compact"/>
              <w:spacing w:after="60" w:line="252" w:lineRule="auto"/>
              <w:jc w:val="left"/>
            </w:pPr>
            <w:r>
              <w:rPr>
                <w:sz w:val="19"/>
              </w:rPr>
              <w:t xml:space="preserve">K22 — Yurt içi ürün teslim/kargo gideri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300,00 TL</w:t>
            </w:r>
          </w:p>
        </w:tc>
        <w:tc>
          <w:tcPr>
            <w:tcW w:type="dxa" w:w="1928"/>
            <w:vAlign w:val="top"/>
          </w:tcPr>
          <w:p>
            <w:pPr>
              <w:pStyle w:val="Compact"/>
              <w:spacing w:after="60" w:line="252" w:lineRule="auto"/>
              <w:jc w:val="left"/>
            </w:pPr>
            <w:r>
              <w:rPr>
                <w:sz w:val="19"/>
              </w:rPr>
              <w:t xml:space="preserve">300,00 TL</w:t>
            </w:r>
          </w:p>
        </w:tc>
      </w:tr>
    </w:tbl>
    <w:bookmarkEnd w:id="21"/>
    <w:bookmarkStart w:id="27" w:name="fiyat-dayanakları-ve-tahminlerin-sınırı"/>
    <w:p>
      <w:pPr>
        <w:pStyle w:val="Heading2"/>
      </w:pPr>
      <w:r>
        <w:t xml:space="preserve">Fiyat dayanakları ve tahminlerin sınırı</w:t>
      </w:r>
    </w:p>
    <w:p>
      <w:pPr>
        <w:pStyle w:val="FirstParagraph"/>
      </w:pPr>
      <w:r>
        <w:t xml:space="preserve">22 Ekim devam kontrolünde aşağıdaki sayfalar doğrudan açıldı. Bu fiyatlar, tabloda önerilen yuvarlatılmış ödeneklerden ayrıdır.</w:t>
      </w:r>
    </w:p>
    <w:tbl>
      <w:tblPr>
        <w:tblStyle w:val="TableGrid"/>
        <w:tblW w:type="pct" w:w="5000"/>
        <w:jc w:val="left"/>
        <w:tblLayout w:type="fixed"/>
        <w:tblLook w:firstRow="1" w:lastRow="0" w:firstColumn="0" w:lastColumn="0" w:noHBand="0" w:noVBand="0" w:val="0020"/>
      </w:tblPr>
      <w:tblGrid>
        <w:gridCol w:w="1701"/>
        <w:gridCol w:w="3175"/>
        <w:gridCol w:w="4762"/>
      </w:tblGrid>
      <w:tr>
        <w:trPr>
          <w:tblHeader w:val="on"/>
          <w:tblHeader/>
          <w:cantSplit/>
        </w:trPr>
        <w:tc>
          <w:tcPr>
            <w:tcW w:type="dxa" w:w="1701"/>
            <w:vAlign w:val="top"/>
            <w:shd w:fill="EAF1F7"/>
          </w:tcPr>
          <w:p>
            <w:pPr>
              <w:pStyle w:val="Compact"/>
              <w:spacing w:after="60" w:line="252" w:lineRule="auto"/>
              <w:jc w:val="left"/>
            </w:pPr>
            <w:r>
              <w:rPr>
                <w:b/>
                <w:sz w:val="19"/>
              </w:rPr>
              <w:t xml:space="preserve">Dayanak</w:t>
            </w:r>
          </w:p>
        </w:tc>
        <w:tc>
          <w:tcPr>
            <w:tcW w:type="dxa" w:w="3175"/>
            <w:vAlign w:val="top"/>
            <w:shd w:fill="EAF1F7"/>
          </w:tcPr>
          <w:p>
            <w:pPr>
              <w:pStyle w:val="Compact"/>
              <w:spacing w:after="60" w:line="252" w:lineRule="auto"/>
              <w:jc w:val="left"/>
            </w:pPr>
            <w:r>
              <w:rPr>
                <w:b/>
                <w:sz w:val="19"/>
              </w:rPr>
              <w:t xml:space="preserve">Görülen bedel</w:t>
            </w:r>
          </w:p>
        </w:tc>
        <w:tc>
          <w:tcPr>
            <w:tcW w:type="dxa" w:w="4762"/>
            <w:vAlign w:val="top"/>
            <w:shd w:fill="EAF1F7"/>
          </w:tcPr>
          <w:p>
            <w:pPr>
              <w:pStyle w:val="Compact"/>
              <w:spacing w:after="60" w:line="252" w:lineRule="auto"/>
              <w:jc w:val="left"/>
            </w:pPr>
            <w:r>
              <w:rPr>
                <w:b/>
                <w:sz w:val="19"/>
              </w:rPr>
              <w:t xml:space="preserve">Değerlendirme</w:t>
            </w:r>
          </w:p>
        </w:tc>
      </w:tr>
      <w:tr>
        <w:trPr>
          <w:cantSplit/>
        </w:trPr>
        <w:tc>
          <w:tcPr>
            <w:tcW w:type="dxa" w:w="1701"/>
            <w:vAlign w:val="top"/>
          </w:tcPr>
          <w:p>
            <w:pPr>
              <w:pStyle w:val="Compact"/>
              <w:spacing w:after="60" w:line="252" w:lineRule="auto"/>
              <w:jc w:val="left"/>
            </w:pPr>
            <w:hyperlink r:id="rId22">
              <w:r>
                <w:rPr>
                  <w:rStyle w:val="Hyperlink"/>
                </w:rPr>
                <w:t xml:space="preserve">ESP32 kartı</w:t>
              </w:r>
            </w:hyperlink>
          </w:p>
        </w:tc>
        <w:tc>
          <w:tcPr>
            <w:tcW w:type="dxa" w:w="3175"/>
            <w:vAlign w:val="top"/>
          </w:tcPr>
          <w:p>
            <w:pPr>
              <w:pStyle w:val="Compact"/>
              <w:spacing w:after="60" w:line="252" w:lineRule="auto"/>
              <w:jc w:val="left"/>
            </w:pPr>
            <w:r>
              <w:rPr>
                <w:sz w:val="19"/>
              </w:rPr>
              <w:t xml:space="preserve">630,00 TL</w:t>
            </w:r>
          </w:p>
        </w:tc>
        <w:tc>
          <w:tcPr>
            <w:tcW w:type="dxa" w:w="4762"/>
            <w:vAlign w:val="top"/>
          </w:tcPr>
          <w:p>
            <w:pPr>
              <w:pStyle w:val="Compact"/>
              <w:spacing w:after="60" w:line="252" w:lineRule="auto"/>
              <w:jc w:val="left"/>
            </w:pPr>
            <w:r>
              <w:rPr>
                <w:sz w:val="19"/>
              </w:rPr>
              <w:t xml:space="preserve">Kart için 700 TL planlandı. Önceki aynı gün kaydındaki 628,50 TL yerine yeni kontrolde 630,00 TL görüldü.</w:t>
            </w:r>
          </w:p>
        </w:tc>
      </w:tr>
      <w:tr>
        <w:trPr>
          <w:cantSplit/>
        </w:trPr>
        <w:tc>
          <w:tcPr>
            <w:tcW w:type="dxa" w:w="1701"/>
            <w:vAlign w:val="top"/>
          </w:tcPr>
          <w:p>
            <w:pPr>
              <w:pStyle w:val="Compact"/>
              <w:spacing w:after="60" w:line="252" w:lineRule="auto"/>
              <w:jc w:val="left"/>
            </w:pPr>
            <w:hyperlink r:id="rId23">
              <w:r>
                <w:rPr>
                  <w:rStyle w:val="Hyperlink"/>
                </w:rPr>
                <w:t xml:space="preserve">Enkoderli motor adayı</w:t>
              </w:r>
            </w:hyperlink>
          </w:p>
        </w:tc>
        <w:tc>
          <w:tcPr>
            <w:tcW w:type="dxa" w:w="3175"/>
            <w:vAlign w:val="top"/>
          </w:tcPr>
          <w:p>
            <w:pPr>
              <w:pStyle w:val="Compact"/>
              <w:spacing w:after="60" w:line="252" w:lineRule="auto"/>
              <w:jc w:val="left"/>
            </w:pPr>
            <w:r>
              <w:rPr>
                <w:sz w:val="19"/>
              </w:rPr>
              <w:t xml:space="preserve">406,82 TL/adet</w:t>
            </w:r>
          </w:p>
        </w:tc>
        <w:tc>
          <w:tcPr>
            <w:tcW w:type="dxa" w:w="4762"/>
            <w:vAlign w:val="top"/>
          </w:tcPr>
          <w:p>
            <w:pPr>
              <w:pStyle w:val="Compact"/>
              <w:spacing w:after="60" w:line="252" w:lineRule="auto"/>
              <w:jc w:val="left"/>
            </w:pPr>
            <w:r>
              <w:rPr>
                <w:sz w:val="19"/>
              </w:rPr>
              <w:t xml:space="preserve">Motor başına 600 TL hedeflendi. Sıkışma akımı ve enkoder bilgileri eksik; belgeli referans motorla aynı ürün sayılmadı.</w:t>
            </w:r>
          </w:p>
        </w:tc>
      </w:tr>
      <w:tr>
        <w:trPr>
          <w:cantSplit/>
        </w:trPr>
        <w:tc>
          <w:tcPr>
            <w:tcW w:type="dxa" w:w="1701"/>
            <w:vAlign w:val="top"/>
          </w:tcPr>
          <w:p>
            <w:pPr>
              <w:pStyle w:val="Compact"/>
              <w:spacing w:after="60" w:line="252" w:lineRule="auto"/>
              <w:jc w:val="left"/>
            </w:pPr>
            <w:hyperlink r:id="rId24">
              <w:r>
                <w:rPr>
                  <w:rStyle w:val="Hyperlink"/>
                </w:rPr>
                <w:t xml:space="preserve">ToF taşıyıcı adayı</w:t>
              </w:r>
            </w:hyperlink>
          </w:p>
        </w:tc>
        <w:tc>
          <w:tcPr>
            <w:tcW w:type="dxa" w:w="3175"/>
            <w:vAlign w:val="top"/>
          </w:tcPr>
          <w:p>
            <w:pPr>
              <w:pStyle w:val="Compact"/>
              <w:spacing w:after="60" w:line="252" w:lineRule="auto"/>
              <w:jc w:val="left"/>
            </w:pPr>
            <w:r>
              <w:rPr>
                <w:sz w:val="19"/>
              </w:rPr>
              <w:t xml:space="preserve">435,88 TL/adet</w:t>
            </w:r>
          </w:p>
        </w:tc>
        <w:tc>
          <w:tcPr>
            <w:tcW w:type="dxa" w:w="4762"/>
            <w:vAlign w:val="top"/>
          </w:tcPr>
          <w:p>
            <w:pPr>
              <w:pStyle w:val="Compact"/>
              <w:spacing w:after="60" w:line="252" w:lineRule="auto"/>
              <w:jc w:val="left"/>
            </w:pPr>
            <w:r>
              <w:rPr>
                <w:sz w:val="19"/>
              </w:rPr>
              <w:t xml:space="preserve">Sensör başına 500 TL planlandı. Stok verisi OutOfStock; stok veya arayüz uyumu doğrulanmış değildir.</w:t>
            </w:r>
          </w:p>
        </w:tc>
      </w:tr>
      <w:tr>
        <w:trPr>
          <w:cantSplit/>
        </w:trPr>
        <w:tc>
          <w:tcPr>
            <w:tcW w:type="dxa" w:w="1701"/>
            <w:vAlign w:val="top"/>
          </w:tcPr>
          <w:p>
            <w:pPr>
              <w:pStyle w:val="Compact"/>
              <w:spacing w:after="60" w:line="252" w:lineRule="auto"/>
              <w:jc w:val="left"/>
            </w:pPr>
            <w:hyperlink r:id="rId25">
              <w:r>
                <w:rPr>
                  <w:rStyle w:val="Hyperlink"/>
                </w:rPr>
                <w:t xml:space="preserve">Temel multimetre adayı</w:t>
              </w:r>
            </w:hyperlink>
          </w:p>
        </w:tc>
        <w:tc>
          <w:tcPr>
            <w:tcW w:type="dxa" w:w="3175"/>
            <w:vAlign w:val="top"/>
          </w:tcPr>
          <w:p>
            <w:pPr>
              <w:pStyle w:val="Compact"/>
              <w:spacing w:after="60" w:line="252" w:lineRule="auto"/>
              <w:jc w:val="left"/>
            </w:pPr>
            <w:r>
              <w:rPr>
                <w:sz w:val="19"/>
              </w:rPr>
              <w:t xml:space="preserve">276,06 TL</w:t>
            </w:r>
          </w:p>
        </w:tc>
        <w:tc>
          <w:tcPr>
            <w:tcW w:type="dxa" w:w="4762"/>
            <w:vAlign w:val="top"/>
          </w:tcPr>
          <w:p>
            <w:pPr>
              <w:pStyle w:val="Compact"/>
              <w:spacing w:after="60" w:line="252" w:lineRule="auto"/>
              <w:jc w:val="left"/>
            </w:pPr>
            <w:r>
              <w:rPr>
                <w:sz w:val="19"/>
              </w:rPr>
              <w:t xml:space="preserve">Gereksinim oluşursa 400 TL planlandı. Kullanıcının bu ürünü aldığı veya ekipmana sahip olduğu varsayılmadı.</w:t>
            </w:r>
          </w:p>
        </w:tc>
      </w:tr>
    </w:tbl>
    <w:p>
      <w:pPr>
        <w:pStyle w:val="BodyText"/>
      </w:pPr>
      <w:r>
        <w:t xml:space="preserve">Diğer önceki tarihli fiyatlar</w:t>
      </w:r>
      <w:r>
        <w:t xml:space="preserve"> </w:t>
      </w:r>
      <w:hyperlink r:id="rId26">
        <w:r>
          <w:rPr>
            <w:rStyle w:val="Hyperlink"/>
          </w:rPr>
          <w:t xml:space="preserve">kaynaklı fiyat taslağında</w:t>
        </w:r>
      </w:hyperlink>
      <w:r>
        <w:t xml:space="preserve"> </w:t>
      </w:r>
      <w:r>
        <w:t xml:space="preserve">bulunur: çoklayıcı 76,50 TL; taşıyıcı tekerlek paketi 56,58 TL; batarya 1.019,96 TL; şarj cihazı 870,00 TL; iki regülatör 241,50 TL; pertinaks/USB/sinyal kablosu toplamı 126,00 TL. Bunlar da ürün eşleşmesi veya bağlayıcı teslim teklifi değildir.</w:t>
      </w:r>
    </w:p>
    <w:p>
      <w:pPr>
        <w:pStyle w:val="BodyText"/>
      </w:pPr>
      <w:r>
        <w:t xml:space="preserve">Şasi/imalat, yerel tekerlek ve motor aparatları, montaj parçaları, sinyal uyarlama, alan/engel malzemesi, sabitleme ve kargo tutarları</w:t>
      </w:r>
      <w:r>
        <w:t xml:space="preserve"> </w:t>
      </w:r>
      <w:r>
        <w:rPr>
          <w:b/>
          <w:bCs/>
        </w:rPr>
        <w:t xml:space="preserve">doğrudan teklif alınmadan oluşturulmuş tahminlerdir</w:t>
      </w:r>
      <w:r>
        <w:t xml:space="preserve">. Kalemlerin ayrıntılı gerekçesi CSV ve kaynak kaydında verilmiştir. 400 TL’lik yerel tekerlek/aparat ödeneği, önceki ithal Pololu setinin fiyatı olarak sunulmamıştır.</w:t>
      </w:r>
    </w:p>
    <w:bookmarkEnd w:id="27"/>
    <w:bookmarkStart w:id="32" w:name="seçim-ve-başvuru-öncesi-kontrol"/>
    <w:p>
      <w:pPr>
        <w:pStyle w:val="Heading2"/>
      </w:pPr>
      <w:r>
        <w:t xml:space="preserve">Seçim ve başvuru öncesi kontrol</w:t>
      </w:r>
    </w:p>
    <w:p>
      <w:pPr>
        <w:pStyle w:val="FirstParagraph"/>
      </w:pPr>
      <w:r>
        <w:t xml:space="preserve">Bu öneri, yerel tedarikle uygun ürünlerin seçilmesine dayanır. Özellikle iki enkoderli motorun 600 TL/adet ve beş uygun ToF taşıyıcısının 500 TL/adet çerçevesinde bulunabilirliği ve bağlantı uyumu kontrol edilecektir. Uygun modeller bu çerçeveye sığmazsa tutarlar başvuru tamamlanmadan gözden geçirilecektir. Bu bütçe tek başına tüm parçaların birlikte çalıştığının kanıtı değildir.</w:t>
      </w:r>
    </w:p>
    <w:p>
      <w:pPr>
        <w:pStyle w:val="BodyText"/>
      </w:pPr>
      <w:r>
        <w:t xml:space="preserve">Batarya ile şarj cihazının akım, koruma ve soket eşleşmesi; motor ile sürücünün akım gereksinimi; sensör ve enkoderlerin 3,3 V bağlantıları ürün seçimi sırasında tamamlanacaktır. Paket korumalıysa ikinci koruma modülü; kitlere dahil bağlantılar varsa aynı parçalar tekrar alınmayacaktır.</w:t>
      </w:r>
    </w:p>
    <w:p>
      <w:pPr>
        <w:pStyle w:val="BodyText"/>
      </w:pPr>
      <w:r>
        <w:t xml:space="preserve">Mevcut telefon ve lehim ekipmanı için yeniden alım yazılmamıştır. Ölçüm araçlarına veya sabitleme düzenine mevcut erişim yeterliyse ilgili alım kalemleri başvuru öncesinde çıkarılabilir. Kullanıcının kişisel katkı yapacağı veya araçlara ücretsiz erişiminin kesin olduğu varsayılmamıştır. İsteğe bağlı IMU ve yurt dışı ithalat giderleri bu yerel tedarik önerisine dahil değildir.</w:t>
      </w:r>
    </w:p>
    <w:p>
      <w:pPr>
        <w:pStyle w:val="BodyText"/>
      </w:pPr>
      <w:r>
        <w:t xml:space="preserve">Stokta bulunmak başvuru şartı olarak kullanılmamıştır. Esas olan gerekçeli maliyet ve uygulanabilir temin planıdır. Kullanıcı toplam tutarı seçtikten ve danışmanla değerlendirildikten sonra TYBS’nin ilgili bütçe alanları güncel gider türleriyle doldurulacaktır. Çağrının 2.2 maddesi gereği talep edilen bütçe tutarı başvurular sona erdikten sonra değiştirilemez.</w:t>
      </w:r>
    </w:p>
    <w:p>
      <w:pPr>
        <w:pStyle w:val="BodyText"/>
      </w:pPr>
      <w:r>
        <w:rPr>
          <w:b/>
          <w:bCs/>
        </w:rPr>
        <w:t xml:space="preserve">Kaynak ve hesap kaydı:</w:t>
      </w:r>
      <w:r>
        <w:t xml:space="preserve"> </w:t>
      </w:r>
      <w:hyperlink r:id="rId28">
        <w:r>
          <w:rPr>
            <w:rStyle w:val="Hyperlink"/>
          </w:rPr>
          <w:t xml:space="preserve">Planlama CSV’si</w:t>
        </w:r>
      </w:hyperlink>
      <w:r>
        <w:t xml:space="preserve"> </w:t>
      </w:r>
      <w:r>
        <w:t xml:space="preserve">·</w:t>
      </w:r>
      <w:r>
        <w:t xml:space="preserve"> </w:t>
      </w:r>
      <w:hyperlink r:id="rId29">
        <w:r>
          <w:rPr>
            <w:rStyle w:val="Hyperlink"/>
          </w:rPr>
          <w:t xml:space="preserve">Fiyat gözlemleri ve tahmin gerekçeleri</w:t>
        </w:r>
      </w:hyperlink>
    </w:p>
    <w:p>
      <w:pPr>
        <w:pStyle w:val="BodyText"/>
      </w:pPr>
      <w:hyperlink r:id="rId30">
        <w:r>
          <w:rPr>
            <w:rStyle w:val="Hyperlink"/>
          </w:rPr>
          <w:t xml:space="preserve">2026 program sayfası</w:t>
        </w:r>
      </w:hyperlink>
      <w:r>
        <w:t xml:space="preserve"> </w:t>
      </w:r>
      <w:r>
        <w:t xml:space="preserve">·</w:t>
      </w:r>
      <w:r>
        <w:t xml:space="preserve"> </w:t>
      </w:r>
      <w:hyperlink r:id="rId31">
        <w:r>
          <w:rPr>
            <w:rStyle w:val="Hyperlink"/>
          </w:rPr>
          <w:t xml:space="preserve">2026 çağrı duyurusu</w:t>
        </w:r>
      </w:hyperlink>
    </w:p>
    <w:bookmarkEnd w:id="32"/>
    <w:bookmarkEnd w:id="33"/>
    <w:sectPr w:rsidR="00FC693F" w:rsidRPr="0006063C" w:rsidSect="00034616">
      <w:headerReference r:id="rId9" w:type="default"/>
      <w:footerReference r:id="rId10" w:type="default"/>
      <w:pgSz w:h="16838" w:w="11906"/>
      <w:pgMar w:bottom="1134" w:footer="454" w:gutter="0" w:header="454" w:left="1134" w:right="1134"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Ahmet Talha Arslan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748B"/>
        <w:sz w:val="16"/>
      </w:rPr>
      <w:t>TÜBİTAK 2209-A  |  Araştırma önerisi taslağı</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tr-T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69" w:lineRule="auto"/>
    </w:pPr>
    <w:rPr>
      <w:rFonts w:ascii="Times New Roman"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Arial" w:asciiTheme="majorHAnsi" w:cstheme="majorBidi" w:eastAsiaTheme="majorEastAsia" w:hAnsi="Arial" w:hAnsiTheme="majorHAnsi"/>
      <w:b/>
      <w:bCs/>
      <w:color w:val="183A57"/>
      <w:sz w:val="34"/>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Arial" w:asciiTheme="majorHAnsi" w:cstheme="majorBidi" w:eastAsiaTheme="majorEastAsia" w:hAnsi="Arial" w:hAnsiTheme="majorHAnsi"/>
      <w:b/>
      <w:bCs/>
      <w:color w:val="183A57"/>
      <w:sz w:val="28"/>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Arial" w:asciiTheme="majorHAnsi" w:cstheme="majorBidi" w:eastAsiaTheme="majorEastAsia" w:hAnsi="Arial" w:hAnsiTheme="majorHAnsi"/>
      <w:b/>
      <w:bCs/>
      <w:color w:val="183A57"/>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val="0"/>
      <w:color w:val="47556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6" Type="http://schemas.openxmlformats.org/officeDocument/2006/relationships/hyperlink" Target="https://github.com/ahmet-talha21/Bitirme_Projesi_IKA/blob/main/docs/2209-A/FIYATLI_BUTCE_TASLAGI.md" TargetMode="External"/><Relationship Id="rId29" Type="http://schemas.openxmlformats.org/officeDocument/2006/relationships/hyperlink" Target="https://github.com/ahmet-talha21/Bitirme_Projesi_IKA/blob/main/docs/2209-A/tedarik/basvuru_butce_onerisi_2026-10-22.json" TargetMode="External"/><Relationship Id="rId28" Type="http://schemas.openxmlformats.org/officeDocument/2006/relationships/hyperlink" Target="https://raw.githubusercontent.com/ahmet-talha21/Bitirme_Projesi_IKA/main/docs/2209-A/BASVURU_BUTCE_ONERISI.csv" TargetMode="External"/><Relationship Id="rId31" Type="http://schemas.openxmlformats.org/officeDocument/2006/relationships/hyperlink" Target="https://tubitak.gov.tr/sites/default/files/2026-10/2209-A_2026_Yili_Cagri_Duyurusu.pdf" TargetMode="External"/><Relationship Id="rId30" Type="http://schemas.openxmlformats.org/officeDocument/2006/relationships/hyperlink" Target="https://tubitak.gov.tr/tr/burslar/lisans-onlisans/destek-programlari/2209-universite-ogrencileri-arastirma-projeleri-destekleme-programi" TargetMode="External"/><Relationship Id="rId23" Type="http://schemas.openxmlformats.org/officeDocument/2006/relationships/hyperlink" Target="https://www.direnc.net/6v-300rpm-enkoderli-motor" TargetMode="External"/><Relationship Id="rId25" Type="http://schemas.openxmlformats.org/officeDocument/2006/relationships/hyperlink" Target="https://www.direnc.net/aneng-xl830l-dijital-kademeli-multimetre" TargetMode="External"/><Relationship Id="rId24" Type="http://schemas.openxmlformats.org/officeDocument/2006/relationships/hyperlink" Target="https://www.direnc.net/gy-vl53l0xv2-lazer-mesafe-modulu" TargetMode="External"/><Relationship Id="rId22" Type="http://schemas.openxmlformats.org/officeDocument/2006/relationships/hyperlink" Target="https://www.robolinkmarket.com/esp32-wroom-cp2102-wifi-ve-bluetooth-modulu-type-c"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github.com/ahmet-talha21/Bitirme_Projesi_IKA/blob/main/docs/2209-A/FIYATLI_BUTCE_TASLAGI.md" TargetMode="External"/><Relationship Id="rId29" Type="http://schemas.openxmlformats.org/officeDocument/2006/relationships/hyperlink" Target="https://github.com/ahmet-talha21/Bitirme_Projesi_IKA/blob/main/docs/2209-A/tedarik/basvuru_butce_onerisi_2026-10-22.json" TargetMode="External"/><Relationship Id="rId28" Type="http://schemas.openxmlformats.org/officeDocument/2006/relationships/hyperlink" Target="https://raw.githubusercontent.com/ahmet-talha21/Bitirme_Projesi_IKA/main/docs/2209-A/BASVURU_BUTCE_ONERISI.csv" TargetMode="External"/><Relationship Id="rId31" Type="http://schemas.openxmlformats.org/officeDocument/2006/relationships/hyperlink" Target="https://tubitak.gov.tr/sites/default/files/2026-10/2209-A_2026_Yili_Cagri_Duyurusu.pdf" TargetMode="External"/><Relationship Id="rId30" Type="http://schemas.openxmlformats.org/officeDocument/2006/relationships/hyperlink" Target="https://tubitak.gov.tr/tr/burslar/lisans-onlisans/destek-programlari/2209-universite-ogrencileri-arastirma-projeleri-destekleme-programi" TargetMode="External"/><Relationship Id="rId23" Type="http://schemas.openxmlformats.org/officeDocument/2006/relationships/hyperlink" Target="https://www.direnc.net/6v-300rpm-enkoderli-motor" TargetMode="External"/><Relationship Id="rId25" Type="http://schemas.openxmlformats.org/officeDocument/2006/relationships/hyperlink" Target="https://www.direnc.net/aneng-xl830l-dijital-kademeli-multimetre" TargetMode="External"/><Relationship Id="rId24" Type="http://schemas.openxmlformats.org/officeDocument/2006/relationships/hyperlink" Target="https://www.direnc.net/gy-vl53l0xv2-lazer-mesafe-modulu" TargetMode="External"/><Relationship Id="rId22" Type="http://schemas.openxmlformats.org/officeDocument/2006/relationships/hyperlink" Target="https://www.robolinkmarket.com/esp32-wroom-cp2102-wifi-ve-bluetooth-modulu-type-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İKA — TÜBİTAK 2209-A Bütçe Önerisi</dc:title>
  <dc:creator>Ahmet Talha Arslan</dc:creator>
  <dc:language>tr-TR</dc:language>
  <cp:keywords/>
  <dcterms:created xsi:type="dcterms:W3CDTF">2026-10-22T10:34:55Z</dcterms:created>
  <dcterms:modified xsi:type="dcterms:W3CDTF">2026-10-22T10:34:55Z</dcterms:modified>
  <dc:subject>Planlanan araştırma; deney sonuçları içermez</dc:subject>
</cp:coreProperties>
</file>

<file path=docProps/custom.xml><?xml version="1.0" encoding="utf-8"?>
<Properties xmlns="http://schemas.openxmlformats.org/officeDocument/2006/custom-properties" xmlns:vt="http://schemas.openxmlformats.org/officeDocument/2006/docPropsVTypes"/>
</file>