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Anlatım ve bölüm düzeni güncellemesi</w:t>
      </w:r>
    </w:p>
    <w:p>
      <w:pPr>
        <w:pStyle w:val="BodyText"/>
      </w:pPr>
      <w:r>
        <w:rPr>
          <w:b/>
          <w:bCs/>
        </w:rPr>
        <w:t xml:space="preserve">Proje adı:</w:t>
      </w:r>
      <w:r>
        <w:t xml:space="preserve"> </w:t>
      </w:r>
      <w:r>
        <w:t xml:space="preserve">Kullanıcı tarafından belirlenen rota bilgisine göre hareket eden otonom araç tasarımı</w:t>
      </w:r>
    </w:p>
    <w:p>
      <w:pPr>
        <w:pStyle w:val="BodyText"/>
      </w:pPr>
      <w:r>
        <w:t xml:space="preserve">İnceleme taslağıdır; açık bilgiler</w:t>
      </w:r>
      <w:r>
        <w:t xml:space="preserve"> </w:t>
      </w:r>
      <w:hyperlink r:id="rId20">
        <w:r>
          <w:rPr>
            <w:rStyle w:val="Hyperlink"/>
          </w:rPr>
          <w:t xml:space="preserve">hazırlık notlarında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Planlanan proje süresi</w:t>
            </w:r>
          </w:p>
        </w:tc>
        <w:tc>
          <w:tcPr>
            <w:tcW w:type="dxa" w:w="7257"/>
            <w:vAlign w:val="top"/>
          </w:tcPr>
          <w:p>
            <w:pPr>
              <w:pStyle w:val="Compact"/>
              <w:spacing w:after="60" w:line="252" w:lineRule="auto"/>
              <w:jc w:val="left"/>
            </w:pPr>
            <w:r>
              <w:rPr>
                <w:sz w:val="19"/>
              </w:rPr>
              <w:t xml:space="preserve">6 ay; resmî takvim sonuçların ilanına göre başlayacaktır.</w:t>
            </w:r>
          </w:p>
        </w:tc>
      </w:tr>
      <w:tr>
        <w:trPr>
          <w:cantSplit/>
        </w:trPr>
        <w:tc>
          <w:tcPr>
            <w:tcW w:type="dxa" w:w="2381"/>
            <w:vAlign w:val="top"/>
          </w:tcPr>
          <w:p>
            <w:pPr>
              <w:pStyle w:val="Compact"/>
              <w:spacing w:after="60" w:line="252" w:lineRule="auto"/>
              <w:jc w:val="left"/>
            </w:pPr>
            <w:r>
              <w:rPr>
                <w:sz w:val="19"/>
              </w:rPr>
              <w:t xml:space="preserve">Planlanan destek talebi</w:t>
            </w:r>
          </w:p>
        </w:tc>
        <w:tc>
          <w:tcPr>
            <w:tcW w:type="dxa" w:w="7257"/>
            <w:vAlign w:val="top"/>
          </w:tcPr>
          <w:p>
            <w:pPr>
              <w:pStyle w:val="Compact"/>
              <w:spacing w:after="60" w:line="252" w:lineRule="auto"/>
              <w:jc w:val="left"/>
            </w:pPr>
            <w:r>
              <w:rPr>
                <w:sz w:val="19"/>
              </w:rPr>
              <w:t xml:space="preserve">11.500 TL; KDV dahil tahmini bütçe.</w:t>
            </w:r>
          </w:p>
        </w:tc>
      </w:tr>
    </w:tbl>
    <w:bookmarkEnd w:id="21"/>
    <w:bookmarkStart w:id="22" w:name="özet"/>
    <w:p>
      <w:pPr>
        <w:pStyle w:val="Heading2"/>
      </w:pPr>
      <w:r>
        <w:t xml:space="preserve">Özet</w:t>
      </w:r>
    </w:p>
    <w:p>
      <w:pPr>
        <w:pStyle w:val="FirstParagraph"/>
      </w:pPr>
      <w:r>
        <w:t xml:space="preserve">Bu araştırmada, kullanıcı tarafından arayüzde tanımlanan rotayı izleyen, sabit engelleri algılayıp çarpışmadan kaçınarak rotasına dönen küçük ölçekli bir otonom kara aracı geliştirilmesi amaçlanmaktadır. Farklı engel yerleşimlerinin algılama, kaçınma, rotaya dönüş ve görev tamamlama başarısına etkisi kontrollü deneylerle incelenecektir.</w:t>
      </w:r>
    </w:p>
    <w:p>
      <w:pPr>
        <w:pStyle w:val="BodyText"/>
      </w:pPr>
      <w:r>
        <w:t xml:space="preserve">Prototip; ESP32 kontrol birimi, bağımsız sürülen iki enkoderli motor ve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Waypoint erişimi ve rotaya dönüş için en çok 10 cm uzaklık, deneme başına en çok 120 saniye hedeflenmektedir. Aracın hareketinin bağımsız değerlendirilmesinde, mevcut telefonla sabit görüntü kaydı ve kalibrasyon düzeni kurulması planlanmaktadır.</w:t>
      </w:r>
    </w:p>
    <w:p>
      <w:pPr>
        <w:pStyle w:val="BodyText"/>
      </w:pPr>
      <w:r>
        <w:t xml:space="preserve">Çalışma, altı aylık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rPr>
          <w:b/>
          <w:bCs/>
        </w:rPr>
        <w:t xml:space="preserve">Araştırma problemi ve önemi</w:t>
      </w:r>
    </w:p>
    <w:p>
      <w:pPr>
        <w:pStyle w:val="BodyText"/>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rPr>
          <w:b/>
          <w:bCs/>
        </w:rPr>
        <w:t xml:space="preserve">Literatürdeki yaklaşımlar ve projenin konumu</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rPr>
          <w:b/>
          <w:bCs/>
        </w:rPr>
        <w:t xml:space="preserve">Araştırma sorusu, kapsam ve beklenen katkı</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120 saniye içinde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erişimi ve rotaya dönüş için 10 cm tolerans, her deneme için 120 saniye üst sınırı planlanmıştır. Bu hedeflerin uygulanabilirliği, donanım özellikleri ve bağımsız ölçüm düzeniyle değerlendirilecek; kalan durum geçişi ve kalibrasyon parametreleri başvuru öncesinde danışmanla gözden geçirilecektir.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p>
      <w:pPr>
        <w:pStyle w:val="BodyText"/>
      </w:pPr>
      <w:r>
        <w:t xml:space="preserve">Hedeflere ulaşmak için arayüz ve rota aktarımı İP2, motor/enkoder ve sensör kalibrasyonu İP1, konum kestirimi ve rota takibi İP3, kaçınma ve rotaya dönüş İP4 kapsamında geliştirilecektir. Bu bileşenlerin birlikte çalışması, İP5 kapsamında dört koşuldaki toplam 40 denemeyle değerlendirilecektir. Böylece donanımın kurulması ile otonom görevin başarıyla tamamlanması ayrı aşamalarda kontrol edilecek; sonuçlar Bölüm 2.6–2.7’de tanımlanan ölçütlerle raporlanacaktır.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Mesafe sensörü seçiminde uçuş süresi (ToF) tabanlı taşıyıcılar önceliklendirilecektir. Kesin taşıyıcı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Planlanan sayısal değerlendirme ölçütleri aşağıdadır. Bunlar prototipte elde edilmiş performans değerleri değildir.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Ölçüt</w:t>
            </w:r>
          </w:p>
        </w:tc>
        <w:tc>
          <w:tcPr>
            <w:tcW w:type="dxa" w:w="3175"/>
            <w:vAlign w:val="top"/>
            <w:shd w:fill="EAF1F7"/>
          </w:tcPr>
          <w:p>
            <w:pPr>
              <w:pStyle w:val="Compact"/>
              <w:spacing w:after="60" w:line="252" w:lineRule="auto"/>
              <w:jc w:val="left"/>
            </w:pPr>
            <w:r>
              <w:rPr>
                <w:b/>
                <w:sz w:val="19"/>
              </w:rPr>
              <w:t xml:space="preserve">Planlanan hedef</w:t>
            </w:r>
          </w:p>
        </w:tc>
        <w:tc>
          <w:tcPr>
            <w:tcW w:type="dxa" w:w="4762"/>
            <w:vAlign w:val="top"/>
            <w:shd w:fill="EAF1F7"/>
          </w:tcPr>
          <w:p>
            <w:pPr>
              <w:pStyle w:val="Compact"/>
              <w:spacing w:after="60" w:line="252" w:lineRule="auto"/>
              <w:jc w:val="left"/>
            </w:pPr>
            <w:r>
              <w:rPr>
                <w:b/>
                <w:sz w:val="19"/>
              </w:rPr>
              <w:t xml:space="preserve">Değerlendirme tanımı</w:t>
            </w:r>
          </w:p>
        </w:tc>
      </w:tr>
      <w:tr>
        <w:trPr>
          <w:cantSplit/>
        </w:trPr>
        <w:tc>
          <w:tcPr>
            <w:tcW w:type="dxa" w:w="1701"/>
            <w:vAlign w:val="top"/>
          </w:tcPr>
          <w:p>
            <w:pPr>
              <w:pStyle w:val="Compact"/>
              <w:spacing w:after="60" w:line="252" w:lineRule="auto"/>
              <w:jc w:val="left"/>
            </w:pPr>
            <w:r>
              <w:rPr>
                <w:sz w:val="19"/>
              </w:rPr>
              <w:t xml:space="preserve">Waypoint erişimi</w:t>
            </w:r>
          </w:p>
        </w:tc>
        <w:tc>
          <w:tcPr>
            <w:tcW w:type="dxa" w:w="3175"/>
            <w:vAlign w:val="top"/>
          </w:tcPr>
          <w:p>
            <w:pPr>
              <w:pStyle w:val="Compact"/>
              <w:spacing w:after="60" w:line="252" w:lineRule="auto"/>
              <w:jc w:val="left"/>
            </w:pPr>
            <w:r>
              <w:rPr>
                <w:sz w:val="19"/>
              </w:rPr>
              <w:t xml:space="preserve">En çok 10 cm</w:t>
            </w:r>
          </w:p>
        </w:tc>
        <w:tc>
          <w:tcPr>
            <w:tcW w:type="dxa" w:w="4762"/>
            <w:vAlign w:val="top"/>
          </w:tcPr>
          <w:p>
            <w:pPr>
              <w:pStyle w:val="Compact"/>
              <w:spacing w:after="60" w:line="252" w:lineRule="auto"/>
              <w:jc w:val="left"/>
            </w:pPr>
            <w:r>
              <w:rPr>
                <w:sz w:val="19"/>
              </w:rPr>
              <w:t xml:space="preserve">Araç referans noktasının sıradaki waypoint veya son hedef noktasına Öklid uzaklığı.</w:t>
            </w:r>
          </w:p>
        </w:tc>
      </w:tr>
      <w:tr>
        <w:trPr>
          <w:cantSplit/>
        </w:trPr>
        <w:tc>
          <w:tcPr>
            <w:tcW w:type="dxa" w:w="1701"/>
            <w:vAlign w:val="top"/>
          </w:tcPr>
          <w:p>
            <w:pPr>
              <w:pStyle w:val="Compact"/>
              <w:spacing w:after="60" w:line="252" w:lineRule="auto"/>
              <w:jc w:val="left"/>
            </w:pPr>
            <w:r>
              <w:rPr>
                <w:sz w:val="19"/>
              </w:rPr>
              <w:t xml:space="preserve">Rotaya dönüş</w:t>
            </w:r>
          </w:p>
        </w:tc>
        <w:tc>
          <w:tcPr>
            <w:tcW w:type="dxa" w:w="3175"/>
            <w:vAlign w:val="top"/>
          </w:tcPr>
          <w:p>
            <w:pPr>
              <w:pStyle w:val="Compact"/>
              <w:spacing w:after="60" w:line="252" w:lineRule="auto"/>
              <w:jc w:val="left"/>
            </w:pPr>
            <w:r>
              <w:rPr>
                <w:sz w:val="19"/>
              </w:rPr>
              <w:t xml:space="preserve">En çok 10 cm</w:t>
            </w:r>
          </w:p>
        </w:tc>
        <w:tc>
          <w:tcPr>
            <w:tcW w:type="dxa" w:w="4762"/>
            <w:vAlign w:val="top"/>
          </w:tcPr>
          <w:p>
            <w:pPr>
              <w:pStyle w:val="Compact"/>
              <w:spacing w:after="60" w:line="252" w:lineRule="auto"/>
              <w:jc w:val="left"/>
            </w:pPr>
            <w:r>
              <w:rPr>
                <w:sz w:val="19"/>
              </w:rPr>
              <w:t xml:space="preserve">Araç referans noktasının etkin sonlu rota parçasına uzaklığı. Engel geride bırakılmış, gövde için geçiş açık ve hedef yönünde ilerleme sürüyor olacak.</w:t>
            </w:r>
          </w:p>
        </w:tc>
      </w:tr>
      <w:tr>
        <w:trPr>
          <w:cantSplit/>
        </w:trPr>
        <w:tc>
          <w:tcPr>
            <w:tcW w:type="dxa" w:w="1701"/>
            <w:vAlign w:val="top"/>
          </w:tcPr>
          <w:p>
            <w:pPr>
              <w:pStyle w:val="Compact"/>
              <w:spacing w:after="60" w:line="252" w:lineRule="auto"/>
              <w:jc w:val="left"/>
            </w:pPr>
            <w:r>
              <w:rPr>
                <w:sz w:val="19"/>
              </w:rPr>
              <w:t xml:space="preserve">Deneme süresi</w:t>
            </w:r>
          </w:p>
        </w:tc>
        <w:tc>
          <w:tcPr>
            <w:tcW w:type="dxa" w:w="3175"/>
            <w:vAlign w:val="top"/>
          </w:tcPr>
          <w:p>
            <w:pPr>
              <w:pStyle w:val="Compact"/>
              <w:spacing w:after="60" w:line="252" w:lineRule="auto"/>
              <w:jc w:val="left"/>
            </w:pPr>
            <w:r>
              <w:rPr>
                <w:sz w:val="19"/>
              </w:rPr>
              <w:t xml:space="preserve">En çok 120 saniye</w:t>
            </w:r>
          </w:p>
        </w:tc>
        <w:tc>
          <w:tcPr>
            <w:tcW w:type="dxa" w:w="4762"/>
            <w:vAlign w:val="top"/>
          </w:tcPr>
          <w:p>
            <w:pPr>
              <w:pStyle w:val="Compact"/>
              <w:spacing w:after="60" w:line="252" w:lineRule="auto"/>
              <w:jc w:val="left"/>
            </w:pPr>
            <w:r>
              <w:rPr>
                <w:sz w:val="19"/>
              </w:rPr>
              <w:t xml:space="preserve">Hareketin başlamasından sıralı waypoint’ler üzerinden son hedefe erişilerek görevin tamamlanmasına kadar geçen süre.</w:t>
            </w:r>
          </w:p>
        </w:tc>
      </w:tr>
    </w:tbl>
    <w:p>
      <w:pPr>
        <w:pStyle w:val="BodyText"/>
      </w:pPr>
      <w:r>
        <w:t xml:space="preserve">10 cm değeri waypoint erişimi ve rotaya dönüş için kullanılacaktır; tüm hareket boyunca rota hatasının bu değerin altında kaldığı varsayılmayacaktır. Ölçüm belirsizliği kaydedilecek ve eşik çevresindeki kararlar bu belirsizlikle değerlendirilecektir. Bantta kalma ve son hedefte durma süreleri, ilerleme kontrolü ve diğer kalibrasyon parametreleri ayrıca tanımlanacaktır. Seçilen hedeflerin uygulanabilirliği, bağımsız ölçüm düzeni ve danışman incelemesiyle değerlendirilecektir.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Projenin planlanan süresi altı aydır. Çalışmalar aşağıdaki beş iş paketinde yürütülecek; ay aralıkları değerlendirme sonuçlarının ilanına göre başlayan proje takvimini gösterecektir. Her iş paketinin uygulama sorumlusu Ahmet Talha Arslan’dır. Akademik danışmanın bilimsel yönlendirme ve incelemesi çalışma boyunca sürecektir.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Planlanan ay aralığı</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3.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4–5. ay</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toplam 40 geçerli deneme, her engelli koşulda en az 8/10 birleşik başarı hedefi ve başarısızlıklar dahil değerlendirme.</w:t>
            </w:r>
          </w:p>
        </w:tc>
        <w:tc>
          <w:tcPr>
            <w:tcW w:type="dxa" w:w="2608"/>
            <w:vAlign w:val="top"/>
          </w:tcPr>
          <w:p>
            <w:pPr>
              <w:pStyle w:val="Compact"/>
              <w:spacing w:after="60" w:line="252" w:lineRule="auto"/>
              <w:jc w:val="left"/>
            </w:pPr>
            <w:r>
              <w:rPr>
                <w:sz w:val="19"/>
              </w:rPr>
              <w:t xml:space="preserve">6. ay</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araştırmanın başarısına katkıları toplamı %100’dür. İlk iki ayda donanım ve arayüz çalışmaları kısmen paralel ilerletilecek; donanıma erişim beklenirken arayüzün koordinat ve komut işlevleri üzerinde çalışılabilecektir. Üçüncü aydaki rota takibi, hareket/enkoder kalibrasyonu ve rota aktarımı tamamlandıktan sonra yürütülecektir. Kaçınma davranışının bütünleştirilmesini, son sürümün sabitlenmesi ve altıncı aydaki nihai deneyler izleyecektir. Tek yürütücünün iş yükü bu bağımlılıklar dikkate alınarak düzenlenecektir.</w:t>
      </w:r>
    </w:p>
    <w:p>
      <w:pPr>
        <w:pStyle w:val="BodyText"/>
      </w:pPr>
      <w:r>
        <w:t xml:space="preserve">Üniversite bitirme projesi için Haziran 2027 teslimi hedeflenmektedir; kesin gün henüz belirlenmemiştir. Sonuçların ilan tarihi bilinmediğinden altı aylık resmî sürenin takvim üzerindeki bitiş günü şu aşamada belirtilmemektedir. Akademik teslim hedefi ile resmî destek takviminin ilişkisi başvuru öncesinde danışmanla değerlendirilecektir.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Tarihli fiyatları, teknik uyumu ve öngörülen temin süresini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Elektriksel kontroller için multimetre, alan ölçüleri için uzunluk ölçüm aracı ve görüntü kaydı için telefon sabitleme aparatına erişimin çalışma hazırlığında yürütücü tarafından düzenlenmesi planlanmaktadır. Şasi imalatının gerektirdiği olanaklar seçilen mekanik tasarıma göre belirlenecektir.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2026-10-22T11:49:31Z</dcterms:created>
  <dcterms:modified xsi:type="dcterms:W3CDTF">2026-10-22T11:49:32Z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